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shd w:val="clear" w:color="auto" w:fill="FFFFFF"/>
        <w:spacing w:after="0" w:line="288" w:lineRule="auto"/>
        <w:jc w:val="center"/>
        <w:outlineLvl w:val="0"/>
        <w:rPr>
          <w:rFonts w:eastAsia="Times New Roman" w:cs="Times New Roman"/>
          <w:b/>
          <w:spacing w:val="2"/>
          <w:kern w:val="36"/>
          <w:szCs w:val="28"/>
          <w:u w:val="single"/>
          <w:lang w:eastAsia="en-GB"/>
        </w:rPr>
      </w:pPr>
      <w:r>
        <w:rPr>
          <w:rFonts w:eastAsia="Times New Roman" w:cs="Times New Roman"/>
          <w:b/>
          <w:spacing w:val="2"/>
          <w:kern w:val="36"/>
          <w:szCs w:val="28"/>
          <w:u w:val="single"/>
          <w:lang w:eastAsia="en-GB"/>
        </w:rPr>
        <w:t>Cập nhật toàn bộ Luật mới được ban hành trong năm 2023</w:t>
      </w:r>
    </w:p>
    <w:p>
      <w:pPr>
        <w:shd w:val="clear" w:color="auto" w:fill="FFFFFF"/>
        <w:spacing w:after="0" w:line="288" w:lineRule="auto"/>
        <w:jc w:val="both"/>
        <w:rPr>
          <w:rFonts w:eastAsia="Times New Roman" w:cs="Times New Roman"/>
          <w:spacing w:val="2"/>
          <w:szCs w:val="28"/>
          <w:lang w:val="vi-VN" w:eastAsia="en-GB"/>
        </w:rPr>
      </w:pPr>
    </w:p>
    <w:p>
      <w:pPr>
        <w:shd w:val="clear" w:color="auto" w:fill="FFFFFF"/>
        <w:spacing w:after="0" w:line="288" w:lineRule="auto"/>
        <w:ind w:firstLine="720"/>
        <w:jc w:val="both"/>
        <w:rPr>
          <w:rFonts w:eastAsia="Times New Roman" w:cs="Times New Roman"/>
          <w:spacing w:val="2"/>
          <w:szCs w:val="28"/>
          <w:lang w:eastAsia="en-GB"/>
        </w:rPr>
      </w:pPr>
      <w:r>
        <w:rPr>
          <w:rFonts w:eastAsia="Times New Roman" w:cs="Times New Roman"/>
          <w:spacing w:val="2"/>
          <w:szCs w:val="28"/>
          <w:lang w:eastAsia="en-GB"/>
        </w:rPr>
        <w:t>Tính đến thời điểm hiện tại, trong năm 2023, Quốc hội đã ban hành các văn bản Luật sau đây:</w:t>
      </w:r>
    </w:p>
    <w:p>
      <w:pPr>
        <w:shd w:val="clear" w:color="auto" w:fill="FFFFFF"/>
        <w:spacing w:after="0" w:line="288" w:lineRule="auto"/>
        <w:ind w:firstLine="720"/>
        <w:outlineLvl w:val="1"/>
        <w:rPr>
          <w:rFonts w:eastAsia="Times New Roman" w:cs="Times New Roman"/>
          <w:spacing w:val="2"/>
          <w:szCs w:val="28"/>
          <w:lang w:eastAsia="en-GB"/>
        </w:rPr>
      </w:pPr>
      <w:r>
        <w:rPr>
          <w:rFonts w:eastAsia="Times New Roman" w:cs="Times New Roman"/>
          <w:b/>
          <w:bCs/>
          <w:spacing w:val="2"/>
          <w:szCs w:val="28"/>
          <w:lang w:eastAsia="en-GB"/>
        </w:rPr>
        <w:t>1. </w:t>
      </w:r>
      <w:hyperlink r:id="rId6" w:tgtFrame="_blank" w:history="1">
        <w:r>
          <w:rPr>
            <w:rFonts w:eastAsia="Times New Roman" w:cs="Times New Roman"/>
            <w:b/>
            <w:bCs/>
            <w:spacing w:val="2"/>
            <w:szCs w:val="28"/>
            <w:u w:val="single"/>
            <w:lang w:eastAsia="en-GB"/>
          </w:rPr>
          <w:t>Luật Khám bệnh, chữa bệnh 2023</w:t>
        </w:r>
      </w:hyperlink>
    </w:p>
    <w:p>
      <w:pPr>
        <w:shd w:val="clear" w:color="auto" w:fill="FFFFFF"/>
        <w:spacing w:after="0" w:line="288" w:lineRule="auto"/>
        <w:ind w:firstLine="720"/>
        <w:jc w:val="both"/>
        <w:rPr>
          <w:rFonts w:eastAsia="Times New Roman" w:cs="Times New Roman"/>
          <w:iCs/>
          <w:spacing w:val="2"/>
          <w:szCs w:val="28"/>
          <w:lang w:eastAsia="en-GB"/>
        </w:rPr>
      </w:pPr>
      <w:hyperlink r:id="rId7" w:tgtFrame="_blank" w:history="1">
        <w:r>
          <w:rPr>
            <w:rFonts w:eastAsia="Times New Roman" w:cs="Times New Roman"/>
            <w:spacing w:val="2"/>
            <w:szCs w:val="28"/>
            <w:u w:val="single"/>
            <w:lang w:eastAsia="en-GB"/>
          </w:rPr>
          <w:t>Luật số: 15/2023/QH15</w:t>
        </w:r>
      </w:hyperlink>
      <w:r>
        <w:rPr>
          <w:rFonts w:eastAsia="Times New Roman" w:cs="Times New Roman"/>
          <w:spacing w:val="2"/>
          <w:szCs w:val="28"/>
          <w:lang w:eastAsia="en-GB"/>
        </w:rPr>
        <w:t xml:space="preserve">; ban hành ngày 09/01/2023; </w:t>
      </w:r>
      <w:r>
        <w:rPr>
          <w:rFonts w:eastAsia="Times New Roman" w:cs="Times New Roman"/>
          <w:bCs/>
          <w:iCs/>
          <w:spacing w:val="2"/>
          <w:szCs w:val="28"/>
          <w:lang w:eastAsia="en-GB"/>
        </w:rPr>
        <w:t>Điều 120. Hiệu lực thi hành – </w:t>
      </w:r>
      <w:hyperlink r:id="rId8" w:tgtFrame="_blank" w:history="1">
        <w:r>
          <w:rPr>
            <w:rFonts w:eastAsia="Times New Roman" w:cs="Times New Roman"/>
            <w:bCs/>
            <w:iCs/>
            <w:spacing w:val="2"/>
            <w:szCs w:val="28"/>
            <w:lang w:eastAsia="en-GB"/>
          </w:rPr>
          <w:t>Luật Khám bệnh, chữa bệnh 2023</w:t>
        </w:r>
      </w:hyperlink>
    </w:p>
    <w:p>
      <w:pPr>
        <w:shd w:val="clear" w:color="auto" w:fill="FFFFFF"/>
        <w:spacing w:after="0" w:line="288" w:lineRule="auto"/>
        <w:jc w:val="both"/>
        <w:rPr>
          <w:rFonts w:eastAsia="Times New Roman" w:cs="Times New Roman"/>
          <w:iCs/>
          <w:spacing w:val="2"/>
          <w:szCs w:val="28"/>
          <w:lang w:eastAsia="en-GB"/>
        </w:rPr>
      </w:pPr>
      <w:r>
        <w:rPr>
          <w:rFonts w:eastAsia="Times New Roman" w:cs="Times New Roman"/>
          <w:iCs/>
          <w:spacing w:val="2"/>
          <w:szCs w:val="28"/>
          <w:lang w:eastAsia="en-GB"/>
        </w:rPr>
        <w:t>1. Luật này có hiệu lực thi hành từ ngày 01 tháng 01 năm 2024, trừ trường hợp quy định tại các khoản 3, 4, 5, 6, 7, 8 và 9 Điều này.</w:t>
      </w:r>
    </w:p>
    <w:p>
      <w:pPr>
        <w:shd w:val="clear" w:color="auto" w:fill="FFFFFF"/>
        <w:spacing w:after="0" w:line="288" w:lineRule="auto"/>
        <w:jc w:val="both"/>
        <w:rPr>
          <w:rFonts w:eastAsia="Times New Roman" w:cs="Times New Roman"/>
          <w:iCs/>
          <w:spacing w:val="2"/>
          <w:szCs w:val="28"/>
          <w:lang w:eastAsia="en-GB"/>
        </w:rPr>
      </w:pPr>
      <w:r>
        <w:rPr>
          <w:rFonts w:eastAsia="Times New Roman" w:cs="Times New Roman"/>
          <w:iCs/>
          <w:spacing w:val="2"/>
          <w:szCs w:val="28"/>
          <w:lang w:eastAsia="en-GB"/>
        </w:rPr>
        <w:t>2. Luật Khám bệnh, chữa bệnh số 40/2009/QH12 đã được sửa đổi, bổ sung một số điều theo Luật số 21/2017/QH14 hết hiệu lực kể từ ngày Luật này có hiệu lực thi hành.</w:t>
      </w:r>
    </w:p>
    <w:p>
      <w:pPr>
        <w:shd w:val="clear" w:color="auto" w:fill="FFFFFF"/>
        <w:spacing w:after="0" w:line="288" w:lineRule="auto"/>
        <w:jc w:val="both"/>
        <w:rPr>
          <w:rFonts w:eastAsia="Times New Roman" w:cs="Times New Roman"/>
          <w:iCs/>
          <w:spacing w:val="2"/>
          <w:szCs w:val="28"/>
          <w:lang w:eastAsia="en-GB"/>
        </w:rPr>
      </w:pPr>
      <w:r>
        <w:rPr>
          <w:rFonts w:eastAsia="Times New Roman" w:cs="Times New Roman"/>
          <w:iCs/>
          <w:spacing w:val="2"/>
          <w:szCs w:val="28"/>
          <w:lang w:eastAsia="en-GB"/>
        </w:rPr>
        <w:t>3. Hội đồng Y khoa Quốc gia thực hiện nhiệm vụ kiểm tra đánh giá năng lực hành nghề khám bệnh, chữa bệnh theo quy định sau đây:</w:t>
      </w:r>
    </w:p>
    <w:p>
      <w:pPr>
        <w:shd w:val="clear" w:color="auto" w:fill="FFFFFF"/>
        <w:spacing w:after="0" w:line="288" w:lineRule="auto"/>
        <w:jc w:val="both"/>
        <w:rPr>
          <w:rFonts w:eastAsia="Times New Roman" w:cs="Times New Roman"/>
          <w:iCs/>
          <w:spacing w:val="2"/>
          <w:szCs w:val="28"/>
          <w:lang w:eastAsia="en-GB"/>
        </w:rPr>
      </w:pPr>
      <w:r>
        <w:rPr>
          <w:rFonts w:eastAsia="Times New Roman" w:cs="Times New Roman"/>
          <w:iCs/>
          <w:spacing w:val="2"/>
          <w:szCs w:val="28"/>
          <w:lang w:eastAsia="en-GB"/>
        </w:rPr>
        <w:t>a) Từ ngày 01 tháng 01 năm 2027 đối với chức danh bác sỹ;</w:t>
      </w:r>
    </w:p>
    <w:p>
      <w:pPr>
        <w:shd w:val="clear" w:color="auto" w:fill="FFFFFF"/>
        <w:spacing w:after="0" w:line="288" w:lineRule="auto"/>
        <w:jc w:val="both"/>
        <w:rPr>
          <w:rFonts w:eastAsia="Times New Roman" w:cs="Times New Roman"/>
          <w:iCs/>
          <w:spacing w:val="2"/>
          <w:szCs w:val="28"/>
          <w:lang w:eastAsia="en-GB"/>
        </w:rPr>
      </w:pPr>
      <w:r>
        <w:rPr>
          <w:rFonts w:eastAsia="Times New Roman" w:cs="Times New Roman"/>
          <w:iCs/>
          <w:spacing w:val="2"/>
          <w:szCs w:val="28"/>
          <w:lang w:eastAsia="en-GB"/>
        </w:rPr>
        <w:t>b) Từ ngày 01 tháng 01 năm 2028 đối với các chức danh y sỹ, điều dưỡng, hộ sinh;</w:t>
      </w:r>
    </w:p>
    <w:p>
      <w:pPr>
        <w:shd w:val="clear" w:color="auto" w:fill="FFFFFF"/>
        <w:spacing w:after="0" w:line="288" w:lineRule="auto"/>
        <w:jc w:val="both"/>
        <w:rPr>
          <w:rFonts w:eastAsia="Times New Roman" w:cs="Times New Roman"/>
          <w:iCs/>
          <w:spacing w:val="2"/>
          <w:szCs w:val="28"/>
          <w:lang w:eastAsia="en-GB"/>
        </w:rPr>
      </w:pPr>
      <w:r>
        <w:rPr>
          <w:rFonts w:eastAsia="Times New Roman" w:cs="Times New Roman"/>
          <w:iCs/>
          <w:spacing w:val="2"/>
          <w:szCs w:val="28"/>
          <w:lang w:eastAsia="en-GB"/>
        </w:rPr>
        <w:t>c) Từ ngày 01 tháng 01 năm 2029 đối với các chức danh kỹ thuật y, dinh dưỡng lâm sàng, cấp cứu viên ngoại viện và tâm lý lâm sàng.</w:t>
      </w:r>
    </w:p>
    <w:p>
      <w:pPr>
        <w:shd w:val="clear" w:color="auto" w:fill="FFFFFF"/>
        <w:spacing w:after="0" w:line="288" w:lineRule="auto"/>
        <w:jc w:val="both"/>
        <w:rPr>
          <w:rFonts w:eastAsia="Times New Roman" w:cs="Times New Roman"/>
          <w:iCs/>
          <w:spacing w:val="2"/>
          <w:szCs w:val="28"/>
          <w:lang w:eastAsia="en-GB"/>
        </w:rPr>
      </w:pPr>
      <w:r>
        <w:rPr>
          <w:rFonts w:eastAsia="Times New Roman" w:cs="Times New Roman"/>
          <w:iCs/>
          <w:spacing w:val="2"/>
          <w:szCs w:val="28"/>
          <w:lang w:eastAsia="en-GB"/>
        </w:rPr>
        <w:t>4. Điều kiện phải đáp ứng năng lực tiếng Việt đối với người nước ngoài quy định tại điểm c khoản 1 Điều 19 và điểm c khoản 2 Điều 30 của Luật này thực hiện từ ngày 01 tháng 01 năm 2032.</w:t>
      </w:r>
    </w:p>
    <w:p>
      <w:pPr>
        <w:shd w:val="clear" w:color="auto" w:fill="FFFFFF"/>
        <w:spacing w:after="0" w:line="288" w:lineRule="auto"/>
        <w:jc w:val="both"/>
        <w:rPr>
          <w:rFonts w:eastAsia="Times New Roman" w:cs="Times New Roman"/>
          <w:iCs/>
          <w:spacing w:val="2"/>
          <w:szCs w:val="28"/>
          <w:lang w:eastAsia="en-GB"/>
        </w:rPr>
      </w:pPr>
      <w:r>
        <w:rPr>
          <w:rFonts w:eastAsia="Times New Roman" w:cs="Times New Roman"/>
          <w:iCs/>
          <w:spacing w:val="2"/>
          <w:szCs w:val="28"/>
          <w:lang w:eastAsia="en-GB"/>
        </w:rPr>
        <w:t>5. Quy định về hạ tầng công nghệ thông tin tại điểm d khoản 2 Điều 52 của Luật này thực hiện như sau:</w:t>
      </w:r>
    </w:p>
    <w:p>
      <w:pPr>
        <w:shd w:val="clear" w:color="auto" w:fill="FFFFFF"/>
        <w:spacing w:after="0" w:line="288" w:lineRule="auto"/>
        <w:jc w:val="both"/>
        <w:rPr>
          <w:rFonts w:eastAsia="Times New Roman" w:cs="Times New Roman"/>
          <w:iCs/>
          <w:spacing w:val="2"/>
          <w:szCs w:val="28"/>
          <w:lang w:eastAsia="en-GB"/>
        </w:rPr>
      </w:pPr>
      <w:r>
        <w:rPr>
          <w:rFonts w:eastAsia="Times New Roman" w:cs="Times New Roman"/>
          <w:iCs/>
          <w:spacing w:val="2"/>
          <w:szCs w:val="28"/>
          <w:lang w:eastAsia="en-GB"/>
        </w:rPr>
        <w:t>a) Từ ngày 01 tháng 01 năm 2027 đối với trường hợp nộp hồ sơ đề nghị cấp giấy phép hoạt động từ ngày 01 tháng 01 năm 2027;</w:t>
      </w:r>
    </w:p>
    <w:p>
      <w:pPr>
        <w:shd w:val="clear" w:color="auto" w:fill="FFFFFF"/>
        <w:spacing w:after="0" w:line="288" w:lineRule="auto"/>
        <w:jc w:val="both"/>
        <w:rPr>
          <w:rFonts w:eastAsia="Times New Roman" w:cs="Times New Roman"/>
          <w:iCs/>
          <w:spacing w:val="2"/>
          <w:szCs w:val="28"/>
          <w:lang w:eastAsia="en-GB"/>
        </w:rPr>
      </w:pPr>
      <w:r>
        <w:rPr>
          <w:rFonts w:eastAsia="Times New Roman" w:cs="Times New Roman"/>
          <w:iCs/>
          <w:spacing w:val="2"/>
          <w:szCs w:val="28"/>
          <w:lang w:eastAsia="en-GB"/>
        </w:rPr>
        <w:t>b) Chậm nhất từ ngày 01 tháng 01 năm 2029 đối với cơ sở khám bệnh, chữa bệnh được cấp giấy phép hoạt động trước ngày 01 tháng 01 năm 2027.</w:t>
      </w:r>
    </w:p>
    <w:p>
      <w:pPr>
        <w:shd w:val="clear" w:color="auto" w:fill="FFFFFF"/>
        <w:spacing w:after="0" w:line="288" w:lineRule="auto"/>
        <w:jc w:val="both"/>
        <w:rPr>
          <w:rFonts w:eastAsia="Times New Roman" w:cs="Times New Roman"/>
          <w:iCs/>
          <w:spacing w:val="2"/>
          <w:szCs w:val="28"/>
          <w:lang w:eastAsia="en-GB"/>
        </w:rPr>
      </w:pPr>
      <w:r>
        <w:rPr>
          <w:rFonts w:eastAsia="Times New Roman" w:cs="Times New Roman"/>
          <w:iCs/>
          <w:spacing w:val="2"/>
          <w:szCs w:val="28"/>
          <w:lang w:eastAsia="en-GB"/>
        </w:rPr>
        <w:t>6. Việc áp dụng tiêu chuẩn chất lượng tại điểm a khoản 1 Điều 57 của Luật này thực hiện như sau:</w:t>
      </w:r>
    </w:p>
    <w:p>
      <w:pPr>
        <w:shd w:val="clear" w:color="auto" w:fill="FFFFFF"/>
        <w:spacing w:after="0" w:line="288" w:lineRule="auto"/>
        <w:jc w:val="both"/>
        <w:rPr>
          <w:rFonts w:eastAsia="Times New Roman" w:cs="Times New Roman"/>
          <w:iCs/>
          <w:spacing w:val="2"/>
          <w:szCs w:val="28"/>
          <w:lang w:eastAsia="en-GB"/>
        </w:rPr>
      </w:pPr>
      <w:r>
        <w:rPr>
          <w:rFonts w:eastAsia="Times New Roman" w:cs="Times New Roman"/>
          <w:iCs/>
          <w:spacing w:val="2"/>
          <w:szCs w:val="28"/>
          <w:lang w:eastAsia="en-GB"/>
        </w:rPr>
        <w:t>a) Từ ngày 01 tháng 01 năm 2025 đối với bệnh viện;</w:t>
      </w:r>
    </w:p>
    <w:p>
      <w:pPr>
        <w:shd w:val="clear" w:color="auto" w:fill="FFFFFF"/>
        <w:spacing w:after="0" w:line="288" w:lineRule="auto"/>
        <w:jc w:val="both"/>
        <w:rPr>
          <w:rFonts w:eastAsia="Times New Roman" w:cs="Times New Roman"/>
          <w:iCs/>
          <w:spacing w:val="2"/>
          <w:szCs w:val="28"/>
          <w:lang w:eastAsia="en-GB"/>
        </w:rPr>
      </w:pPr>
      <w:r>
        <w:rPr>
          <w:rFonts w:eastAsia="Times New Roman" w:cs="Times New Roman"/>
          <w:iCs/>
          <w:spacing w:val="2"/>
          <w:szCs w:val="28"/>
          <w:lang w:eastAsia="en-GB"/>
        </w:rPr>
        <w:t>b) Từ ngày 01 tháng 01 năm 2027 đối với các hình thức tổ chức khác của cơ sở khám bệnh, chữa bệnh.</w:t>
      </w:r>
    </w:p>
    <w:p>
      <w:pPr>
        <w:shd w:val="clear" w:color="auto" w:fill="FFFFFF"/>
        <w:spacing w:after="0" w:line="288" w:lineRule="auto"/>
        <w:jc w:val="both"/>
        <w:rPr>
          <w:rFonts w:eastAsia="Times New Roman" w:cs="Times New Roman"/>
          <w:iCs/>
          <w:spacing w:val="2"/>
          <w:szCs w:val="28"/>
          <w:lang w:eastAsia="en-GB"/>
        </w:rPr>
      </w:pPr>
      <w:r>
        <w:rPr>
          <w:rFonts w:eastAsia="Times New Roman" w:cs="Times New Roman"/>
          <w:iCs/>
          <w:spacing w:val="2"/>
          <w:szCs w:val="28"/>
          <w:lang w:eastAsia="en-GB"/>
        </w:rPr>
        <w:t>7. Quy định về cấp chuyên môn kỹ thuật trong khám bệnh, chữa bệnh tại Điều 104 của Luật này thực hiện từ ngày 01 tháng 01 năm 2025.</w:t>
      </w:r>
    </w:p>
    <w:p>
      <w:pPr>
        <w:shd w:val="clear" w:color="auto" w:fill="FFFFFF"/>
        <w:spacing w:after="0" w:line="288" w:lineRule="auto"/>
        <w:jc w:val="both"/>
        <w:rPr>
          <w:rFonts w:eastAsia="Times New Roman" w:cs="Times New Roman"/>
          <w:iCs/>
          <w:spacing w:val="2"/>
          <w:szCs w:val="28"/>
          <w:lang w:eastAsia="en-GB"/>
        </w:rPr>
      </w:pPr>
      <w:r>
        <w:rPr>
          <w:rFonts w:eastAsia="Times New Roman" w:cs="Times New Roman"/>
          <w:iCs/>
          <w:spacing w:val="2"/>
          <w:szCs w:val="28"/>
          <w:lang w:eastAsia="en-GB"/>
        </w:rPr>
        <w:lastRenderedPageBreak/>
        <w:t>8. Hoàn thành việc xây dựng và vận hành Hệ thống thông tin về quản lý hoạt động khám bệnh, chữa bệnh trước ngày 01 tháng 01 năm 2027.</w:t>
      </w:r>
    </w:p>
    <w:p>
      <w:pPr>
        <w:shd w:val="clear" w:color="auto" w:fill="FFFFFF"/>
        <w:spacing w:after="0" w:line="288" w:lineRule="auto"/>
        <w:jc w:val="both"/>
        <w:rPr>
          <w:rFonts w:eastAsia="Times New Roman" w:cs="Times New Roman"/>
          <w:iCs/>
          <w:spacing w:val="2"/>
          <w:szCs w:val="28"/>
          <w:lang w:eastAsia="en-GB"/>
        </w:rPr>
      </w:pPr>
      <w:r>
        <w:rPr>
          <w:rFonts w:eastAsia="Times New Roman" w:cs="Times New Roman"/>
          <w:iCs/>
          <w:spacing w:val="2"/>
          <w:szCs w:val="28"/>
          <w:lang w:eastAsia="en-GB"/>
        </w:rPr>
        <w:t>9. Cơ quan chuyên môn về y tế thuộc Ủy ban nhân dân cấp tỉnh thực hiện việc cấp mới, cấp lại, điều chỉnh và thu hồi giấy phép hoạt động đối với bệnh viện tư nhân từ ngày 01 tháng 01 năm 2027.</w:t>
      </w:r>
    </w:p>
    <w:p>
      <w:pPr>
        <w:shd w:val="clear" w:color="auto" w:fill="FFFFFF"/>
        <w:spacing w:after="0" w:line="288" w:lineRule="auto"/>
        <w:ind w:firstLine="720"/>
        <w:outlineLvl w:val="1"/>
        <w:rPr>
          <w:rFonts w:eastAsia="Times New Roman" w:cs="Times New Roman"/>
          <w:spacing w:val="2"/>
          <w:szCs w:val="28"/>
          <w:lang w:eastAsia="en-GB"/>
        </w:rPr>
      </w:pPr>
      <w:r>
        <w:rPr>
          <w:rFonts w:eastAsia="Times New Roman" w:cs="Times New Roman"/>
          <w:b/>
          <w:bCs/>
          <w:spacing w:val="2"/>
          <w:szCs w:val="28"/>
          <w:lang w:eastAsia="en-GB"/>
        </w:rPr>
        <w:t>2. </w:t>
      </w:r>
      <w:hyperlink r:id="rId9" w:tgtFrame="_blank" w:history="1">
        <w:r>
          <w:rPr>
            <w:rFonts w:eastAsia="Times New Roman" w:cs="Times New Roman"/>
            <w:b/>
            <w:bCs/>
            <w:spacing w:val="2"/>
            <w:szCs w:val="28"/>
            <w:u w:val="single"/>
            <w:lang w:eastAsia="en-GB"/>
          </w:rPr>
          <w:t>Luật Giá 2023</w:t>
        </w:r>
      </w:hyperlink>
    </w:p>
    <w:p>
      <w:pPr>
        <w:shd w:val="clear" w:color="auto" w:fill="FFFFFF"/>
        <w:spacing w:after="0" w:line="288" w:lineRule="auto"/>
        <w:ind w:firstLine="720"/>
        <w:jc w:val="both"/>
        <w:rPr>
          <w:rFonts w:eastAsia="Times New Roman" w:cs="Times New Roman"/>
          <w:iCs/>
          <w:spacing w:val="2"/>
          <w:szCs w:val="28"/>
          <w:lang w:eastAsia="en-GB"/>
        </w:rPr>
      </w:pPr>
      <w:hyperlink r:id="rId10" w:tgtFrame="_blank" w:history="1">
        <w:r>
          <w:rPr>
            <w:rFonts w:eastAsia="Times New Roman" w:cs="Times New Roman"/>
            <w:spacing w:val="2"/>
            <w:szCs w:val="28"/>
            <w:u w:val="single"/>
            <w:lang w:eastAsia="en-GB"/>
          </w:rPr>
          <w:t>Luật số: 16/2023/QH15</w:t>
        </w:r>
      </w:hyperlink>
      <w:r>
        <w:rPr>
          <w:rFonts w:eastAsia="Times New Roman" w:cs="Times New Roman"/>
          <w:spacing w:val="2"/>
          <w:szCs w:val="28"/>
          <w:lang w:eastAsia="en-GB"/>
        </w:rPr>
        <w:t xml:space="preserve">; ban hành ngày 19/6/2023; </w:t>
      </w:r>
      <w:r>
        <w:rPr>
          <w:rFonts w:eastAsia="Times New Roman" w:cs="Times New Roman"/>
          <w:bCs/>
          <w:iCs/>
          <w:spacing w:val="2"/>
          <w:szCs w:val="28"/>
          <w:lang w:eastAsia="en-GB"/>
        </w:rPr>
        <w:t>Điều 74. Hiệu lực thi hành – </w:t>
      </w:r>
      <w:hyperlink r:id="rId11" w:tgtFrame="_blank" w:history="1">
        <w:r>
          <w:rPr>
            <w:rFonts w:eastAsia="Times New Roman" w:cs="Times New Roman"/>
            <w:bCs/>
            <w:iCs/>
            <w:spacing w:val="2"/>
            <w:szCs w:val="28"/>
            <w:lang w:eastAsia="en-GB"/>
          </w:rPr>
          <w:t>Luật Giá 2023</w:t>
        </w:r>
      </w:hyperlink>
    </w:p>
    <w:p>
      <w:pPr>
        <w:shd w:val="clear" w:color="auto" w:fill="FFFFFF"/>
        <w:spacing w:after="0" w:line="288" w:lineRule="auto"/>
        <w:jc w:val="both"/>
        <w:rPr>
          <w:rFonts w:eastAsia="Times New Roman" w:cs="Times New Roman"/>
          <w:iCs/>
          <w:spacing w:val="2"/>
          <w:szCs w:val="28"/>
          <w:lang w:eastAsia="en-GB"/>
        </w:rPr>
      </w:pPr>
      <w:r>
        <w:rPr>
          <w:rFonts w:eastAsia="Times New Roman" w:cs="Times New Roman"/>
          <w:iCs/>
          <w:spacing w:val="2"/>
          <w:szCs w:val="28"/>
          <w:lang w:eastAsia="en-GB"/>
        </w:rPr>
        <w:t>1. Luật này có hiệu lực thi hành từ ngày 01 tháng 7 năm 2024, trừ trường hợp quy định tại khoản 2 Điều này.</w:t>
      </w:r>
    </w:p>
    <w:p>
      <w:pPr>
        <w:shd w:val="clear" w:color="auto" w:fill="FFFFFF"/>
        <w:spacing w:after="0" w:line="288" w:lineRule="auto"/>
        <w:jc w:val="both"/>
        <w:rPr>
          <w:rFonts w:eastAsia="Times New Roman" w:cs="Times New Roman"/>
          <w:iCs/>
          <w:spacing w:val="2"/>
          <w:szCs w:val="28"/>
          <w:lang w:eastAsia="en-GB"/>
        </w:rPr>
      </w:pPr>
      <w:r>
        <w:rPr>
          <w:rFonts w:eastAsia="Times New Roman" w:cs="Times New Roman"/>
          <w:iCs/>
          <w:spacing w:val="2"/>
          <w:szCs w:val="28"/>
          <w:lang w:eastAsia="en-GB"/>
        </w:rPr>
        <w:t>2. Quy định tại khoản 2 Điều 60 của Luật này có hiệu lực thi hành từ ngày 01 tháng 01 năm 2026. Kể từ ngày 01 tháng 7 năm 2024 đến hết ngày 31 tháng 12 năm 2025, hội đồng thẩm định giá phải có ít nhất 01 thành viên có một trong các chứng nhận chuyên môn sau đây:</w:t>
      </w:r>
    </w:p>
    <w:p>
      <w:pPr>
        <w:shd w:val="clear" w:color="auto" w:fill="FFFFFF"/>
        <w:spacing w:after="0" w:line="288" w:lineRule="auto"/>
        <w:jc w:val="both"/>
        <w:rPr>
          <w:rFonts w:eastAsia="Times New Roman" w:cs="Times New Roman"/>
          <w:iCs/>
          <w:spacing w:val="2"/>
          <w:szCs w:val="28"/>
          <w:lang w:eastAsia="en-GB"/>
        </w:rPr>
      </w:pPr>
      <w:r>
        <w:rPr>
          <w:rFonts w:eastAsia="Times New Roman" w:cs="Times New Roman"/>
          <w:iCs/>
          <w:spacing w:val="2"/>
          <w:szCs w:val="28"/>
          <w:lang w:eastAsia="en-GB"/>
        </w:rPr>
        <w:t>a) Bằng tốt nghiệp cao đẳng trở lên về chuyên ngành giá, thẩm định giá;</w:t>
      </w:r>
    </w:p>
    <w:p>
      <w:pPr>
        <w:shd w:val="clear" w:color="auto" w:fill="FFFFFF"/>
        <w:spacing w:after="0" w:line="288" w:lineRule="auto"/>
        <w:jc w:val="both"/>
        <w:rPr>
          <w:rFonts w:eastAsia="Times New Roman" w:cs="Times New Roman"/>
          <w:iCs/>
          <w:spacing w:val="2"/>
          <w:szCs w:val="28"/>
          <w:lang w:eastAsia="en-GB"/>
        </w:rPr>
      </w:pPr>
      <w:r>
        <w:rPr>
          <w:rFonts w:eastAsia="Times New Roman" w:cs="Times New Roman"/>
          <w:iCs/>
          <w:spacing w:val="2"/>
          <w:szCs w:val="28"/>
          <w:lang w:eastAsia="en-GB"/>
        </w:rPr>
        <w:t>b) Thẻ thẩm định viên về giá;</w:t>
      </w:r>
    </w:p>
    <w:p>
      <w:pPr>
        <w:shd w:val="clear" w:color="auto" w:fill="FFFFFF"/>
        <w:spacing w:after="0" w:line="288" w:lineRule="auto"/>
        <w:jc w:val="both"/>
        <w:rPr>
          <w:rFonts w:eastAsia="Times New Roman" w:cs="Times New Roman"/>
          <w:iCs/>
          <w:spacing w:val="2"/>
          <w:szCs w:val="28"/>
          <w:lang w:eastAsia="en-GB"/>
        </w:rPr>
      </w:pPr>
      <w:r>
        <w:rPr>
          <w:rFonts w:eastAsia="Times New Roman" w:cs="Times New Roman"/>
          <w:iCs/>
          <w:spacing w:val="2"/>
          <w:szCs w:val="28"/>
          <w:lang w:eastAsia="en-GB"/>
        </w:rPr>
        <w:t>c) Chứng chỉ đào tạo nghiệp vụ về thẩm định giá;</w:t>
      </w:r>
    </w:p>
    <w:p>
      <w:pPr>
        <w:shd w:val="clear" w:color="auto" w:fill="FFFFFF"/>
        <w:spacing w:after="0" w:line="288" w:lineRule="auto"/>
        <w:jc w:val="both"/>
        <w:rPr>
          <w:rFonts w:eastAsia="Times New Roman" w:cs="Times New Roman"/>
          <w:iCs/>
          <w:spacing w:val="2"/>
          <w:szCs w:val="28"/>
          <w:lang w:eastAsia="en-GB"/>
        </w:rPr>
      </w:pPr>
      <w:r>
        <w:rPr>
          <w:rFonts w:eastAsia="Times New Roman" w:cs="Times New Roman"/>
          <w:iCs/>
          <w:spacing w:val="2"/>
          <w:szCs w:val="28"/>
          <w:lang w:eastAsia="en-GB"/>
        </w:rPr>
        <w:t>d) Chứng chỉ bồi dưỡng thẩm định giá nhà nước.</w:t>
      </w:r>
    </w:p>
    <w:p>
      <w:pPr>
        <w:shd w:val="clear" w:color="auto" w:fill="FFFFFF"/>
        <w:spacing w:after="0" w:line="288" w:lineRule="auto"/>
        <w:jc w:val="both"/>
        <w:rPr>
          <w:rFonts w:eastAsia="Times New Roman" w:cs="Times New Roman"/>
          <w:iCs/>
          <w:spacing w:val="2"/>
          <w:szCs w:val="28"/>
          <w:lang w:eastAsia="en-GB"/>
        </w:rPr>
      </w:pPr>
      <w:r>
        <w:rPr>
          <w:rFonts w:eastAsia="Times New Roman" w:cs="Times New Roman"/>
          <w:iCs/>
          <w:spacing w:val="2"/>
          <w:szCs w:val="28"/>
          <w:lang w:eastAsia="en-GB"/>
        </w:rPr>
        <w:t>3. Luật Giá số 11/2012/QH13 đã được sửa đổi, bổ sung một số điều theo Luật số 61/2014/QH13, Luật số 64/2020/QH14 và Luật số 07/2022/QH15 (sau đây gọi chung là Luật Giá số 11/2012/QH13) hết hiệu lực kể từ ngày Luật này có hiệu lực thi hành, trừ các quy định tại Điều 75 của Luật này.</w:t>
      </w:r>
    </w:p>
    <w:p>
      <w:pPr>
        <w:shd w:val="clear" w:color="auto" w:fill="FFFFFF"/>
        <w:spacing w:after="0" w:line="288" w:lineRule="auto"/>
        <w:ind w:firstLine="720"/>
        <w:outlineLvl w:val="1"/>
        <w:rPr>
          <w:rFonts w:eastAsia="Times New Roman" w:cs="Times New Roman"/>
          <w:spacing w:val="2"/>
          <w:szCs w:val="28"/>
          <w:u w:val="single"/>
          <w:lang w:eastAsia="en-GB"/>
        </w:rPr>
      </w:pPr>
      <w:r>
        <w:rPr>
          <w:rFonts w:eastAsia="Times New Roman" w:cs="Times New Roman"/>
          <w:b/>
          <w:bCs/>
          <w:spacing w:val="2"/>
          <w:szCs w:val="28"/>
          <w:u w:val="single"/>
          <w:lang w:eastAsia="en-GB"/>
        </w:rPr>
        <w:t>3. </w:t>
      </w:r>
      <w:hyperlink r:id="rId12" w:tgtFrame="_blank" w:history="1">
        <w:r>
          <w:rPr>
            <w:rFonts w:eastAsia="Times New Roman" w:cs="Times New Roman"/>
            <w:b/>
            <w:bCs/>
            <w:spacing w:val="2"/>
            <w:szCs w:val="28"/>
            <w:u w:val="single"/>
            <w:lang w:eastAsia="en-GB"/>
          </w:rPr>
          <w:t>Luật Hợp tác xã 2023</w:t>
        </w:r>
      </w:hyperlink>
    </w:p>
    <w:p>
      <w:pPr>
        <w:shd w:val="clear" w:color="auto" w:fill="FFFFFF"/>
        <w:spacing w:after="0" w:line="288" w:lineRule="auto"/>
        <w:ind w:firstLine="720"/>
        <w:jc w:val="both"/>
        <w:rPr>
          <w:rFonts w:eastAsia="Times New Roman" w:cs="Times New Roman"/>
          <w:iCs/>
          <w:spacing w:val="2"/>
          <w:szCs w:val="28"/>
          <w:lang w:eastAsia="en-GB"/>
        </w:rPr>
      </w:pPr>
      <w:hyperlink r:id="rId13" w:tgtFrame="_blank" w:history="1">
        <w:r>
          <w:rPr>
            <w:rFonts w:eastAsia="Times New Roman" w:cs="Times New Roman"/>
            <w:spacing w:val="2"/>
            <w:szCs w:val="28"/>
            <w:lang w:eastAsia="en-GB"/>
          </w:rPr>
          <w:t>Luật số: 17/2023/QH15</w:t>
        </w:r>
      </w:hyperlink>
      <w:r>
        <w:rPr>
          <w:rFonts w:eastAsia="Times New Roman" w:cs="Times New Roman"/>
          <w:spacing w:val="2"/>
          <w:szCs w:val="28"/>
          <w:lang w:eastAsia="en-GB"/>
        </w:rPr>
        <w:t xml:space="preserve">; ban hành ngày 20/6/2023; </w:t>
      </w:r>
      <w:r>
        <w:rPr>
          <w:rFonts w:eastAsia="Times New Roman" w:cs="Times New Roman"/>
          <w:bCs/>
          <w:iCs/>
          <w:spacing w:val="2"/>
          <w:szCs w:val="28"/>
          <w:lang w:eastAsia="en-GB"/>
        </w:rPr>
        <w:t>Điều 114. Điều khoản thi hành – </w:t>
      </w:r>
      <w:hyperlink r:id="rId14" w:tgtFrame="_blank" w:history="1">
        <w:r>
          <w:rPr>
            <w:rFonts w:eastAsia="Times New Roman" w:cs="Times New Roman"/>
            <w:bCs/>
            <w:iCs/>
            <w:spacing w:val="2"/>
            <w:szCs w:val="28"/>
            <w:lang w:eastAsia="en-GB"/>
          </w:rPr>
          <w:t>Luật Hợp tác xã 2023</w:t>
        </w:r>
      </w:hyperlink>
    </w:p>
    <w:p>
      <w:pPr>
        <w:shd w:val="clear" w:color="auto" w:fill="FFFFFF"/>
        <w:spacing w:after="0" w:line="288" w:lineRule="auto"/>
        <w:jc w:val="both"/>
        <w:rPr>
          <w:rFonts w:eastAsia="Times New Roman" w:cs="Times New Roman"/>
          <w:iCs/>
          <w:spacing w:val="2"/>
          <w:szCs w:val="28"/>
          <w:lang w:eastAsia="en-GB"/>
        </w:rPr>
      </w:pPr>
      <w:r>
        <w:rPr>
          <w:rFonts w:eastAsia="Times New Roman" w:cs="Times New Roman"/>
          <w:iCs/>
          <w:spacing w:val="2"/>
          <w:szCs w:val="28"/>
          <w:lang w:eastAsia="en-GB"/>
        </w:rPr>
        <w:t>1. Luật này có hiệu lực thi hành từ ngày 01 tháng 7 năm 2024, trừ quy định tại khoản 2 Điều này.</w:t>
      </w:r>
    </w:p>
    <w:p>
      <w:pPr>
        <w:shd w:val="clear" w:color="auto" w:fill="FFFFFF"/>
        <w:spacing w:after="0" w:line="288" w:lineRule="auto"/>
        <w:jc w:val="both"/>
        <w:rPr>
          <w:rFonts w:eastAsia="Times New Roman" w:cs="Times New Roman"/>
          <w:iCs/>
          <w:spacing w:val="2"/>
          <w:szCs w:val="28"/>
          <w:lang w:eastAsia="en-GB"/>
        </w:rPr>
      </w:pPr>
      <w:r>
        <w:rPr>
          <w:rFonts w:eastAsia="Times New Roman" w:cs="Times New Roman"/>
          <w:iCs/>
          <w:spacing w:val="2"/>
          <w:szCs w:val="28"/>
          <w:lang w:eastAsia="en-GB"/>
        </w:rPr>
        <w:t>2. Quy định tại khoản 3 và khoản 4 Điều 115 của Luật này có hiệu lực thi hành từ ngày 01 tháng 9 năm 2023.</w:t>
      </w:r>
    </w:p>
    <w:p>
      <w:pPr>
        <w:shd w:val="clear" w:color="auto" w:fill="FFFFFF"/>
        <w:spacing w:after="0" w:line="288" w:lineRule="auto"/>
        <w:jc w:val="both"/>
        <w:rPr>
          <w:rFonts w:eastAsia="Times New Roman" w:cs="Times New Roman"/>
          <w:iCs/>
          <w:spacing w:val="2"/>
          <w:szCs w:val="28"/>
          <w:lang w:eastAsia="en-GB"/>
        </w:rPr>
      </w:pPr>
      <w:r>
        <w:rPr>
          <w:rFonts w:eastAsia="Times New Roman" w:cs="Times New Roman"/>
          <w:iCs/>
          <w:spacing w:val="2"/>
          <w:szCs w:val="28"/>
          <w:lang w:eastAsia="en-GB"/>
        </w:rPr>
        <w:t>3. Luật Hợp tác xã số 23/2012/QH13 hết hiệu lực kể từ ngày Luật này có hiệu lực thi hành, trừ quy định tại khoản 5 Điều 115 của Luật này.</w:t>
      </w:r>
    </w:p>
    <w:p>
      <w:pPr>
        <w:shd w:val="clear" w:color="auto" w:fill="FFFFFF"/>
        <w:spacing w:after="0" w:line="288" w:lineRule="auto"/>
        <w:jc w:val="both"/>
        <w:rPr>
          <w:rFonts w:eastAsia="Times New Roman" w:cs="Times New Roman"/>
          <w:iCs/>
          <w:spacing w:val="2"/>
          <w:szCs w:val="28"/>
          <w:lang w:eastAsia="en-GB"/>
        </w:rPr>
      </w:pPr>
      <w:r>
        <w:rPr>
          <w:rFonts w:eastAsia="Times New Roman" w:cs="Times New Roman"/>
          <w:iCs/>
          <w:spacing w:val="2"/>
          <w:szCs w:val="28"/>
          <w:lang w:eastAsia="en-GB"/>
        </w:rPr>
        <w:t>4. Trong thời gian Cơ sở dữ liệu quốc gia về dân cư chưa kết nối với cơ sở dữ liệu về đăng ký tổ hợp tác, hợp tác xã, liên hiệp hợp tác xã, cá nhân là công dân Việt Nam được sử dụng bản sao giấy tờ pháp lý thay thế cho số định danh cá nhân khi thực hiện thủ tục hành chính theo quy định tại Luật này.</w:t>
      </w:r>
    </w:p>
    <w:p>
      <w:pPr>
        <w:shd w:val="clear" w:color="auto" w:fill="FFFFFF"/>
        <w:spacing w:after="0" w:line="288" w:lineRule="auto"/>
        <w:ind w:firstLine="720"/>
        <w:outlineLvl w:val="1"/>
        <w:rPr>
          <w:rFonts w:eastAsia="Times New Roman" w:cs="Times New Roman"/>
          <w:spacing w:val="2"/>
          <w:szCs w:val="28"/>
          <w:u w:val="single"/>
          <w:lang w:eastAsia="en-GB"/>
        </w:rPr>
      </w:pPr>
      <w:r>
        <w:rPr>
          <w:rFonts w:eastAsia="Times New Roman" w:cs="Times New Roman"/>
          <w:b/>
          <w:bCs/>
          <w:spacing w:val="2"/>
          <w:szCs w:val="28"/>
          <w:u w:val="single"/>
          <w:lang w:eastAsia="en-GB"/>
        </w:rPr>
        <w:t>4. </w:t>
      </w:r>
      <w:hyperlink r:id="rId15" w:tgtFrame="_blank" w:history="1">
        <w:r>
          <w:rPr>
            <w:rFonts w:eastAsia="Times New Roman" w:cs="Times New Roman"/>
            <w:b/>
            <w:bCs/>
            <w:spacing w:val="2"/>
            <w:szCs w:val="28"/>
            <w:u w:val="single"/>
            <w:lang w:eastAsia="en-GB"/>
          </w:rPr>
          <w:t>Luật Bảo vệ quyền lợi người tiêu dùng 2023</w:t>
        </w:r>
      </w:hyperlink>
    </w:p>
    <w:p>
      <w:pPr>
        <w:shd w:val="clear" w:color="auto" w:fill="FFFFFF"/>
        <w:spacing w:after="0" w:line="288" w:lineRule="auto"/>
        <w:ind w:firstLine="720"/>
        <w:jc w:val="both"/>
        <w:rPr>
          <w:rFonts w:eastAsia="Times New Roman" w:cs="Times New Roman"/>
          <w:iCs/>
          <w:spacing w:val="2"/>
          <w:szCs w:val="28"/>
          <w:lang w:eastAsia="en-GB"/>
        </w:rPr>
      </w:pPr>
      <w:hyperlink r:id="rId16" w:tgtFrame="_blank" w:history="1">
        <w:r>
          <w:rPr>
            <w:rFonts w:eastAsia="Times New Roman" w:cs="Times New Roman"/>
            <w:spacing w:val="2"/>
            <w:szCs w:val="28"/>
            <w:lang w:eastAsia="en-GB"/>
          </w:rPr>
          <w:t>Luật số: 19/2023/QH15</w:t>
        </w:r>
      </w:hyperlink>
      <w:r>
        <w:rPr>
          <w:rFonts w:eastAsia="Times New Roman" w:cs="Times New Roman"/>
          <w:spacing w:val="2"/>
          <w:szCs w:val="28"/>
          <w:lang w:eastAsia="en-GB"/>
        </w:rPr>
        <w:t xml:space="preserve">; ban hành ngày 20/6/2023; </w:t>
      </w:r>
      <w:bookmarkStart w:id="0" w:name="_GoBack"/>
      <w:bookmarkEnd w:id="0"/>
      <w:r>
        <w:rPr>
          <w:rFonts w:eastAsia="Times New Roman" w:cs="Times New Roman"/>
          <w:bCs/>
          <w:iCs/>
          <w:spacing w:val="2"/>
          <w:szCs w:val="28"/>
          <w:lang w:eastAsia="en-GB"/>
        </w:rPr>
        <w:t>Điều 79. Hiệu lực thi hành – </w:t>
      </w:r>
      <w:hyperlink r:id="rId17" w:tgtFrame="_blank" w:history="1">
        <w:r>
          <w:rPr>
            <w:rFonts w:eastAsia="Times New Roman" w:cs="Times New Roman"/>
            <w:bCs/>
            <w:iCs/>
            <w:spacing w:val="2"/>
            <w:szCs w:val="28"/>
            <w:lang w:eastAsia="en-GB"/>
          </w:rPr>
          <w:t>Luật Bảo vệ quyền lợi người tiêu dùng 2023</w:t>
        </w:r>
      </w:hyperlink>
    </w:p>
    <w:p>
      <w:pPr>
        <w:shd w:val="clear" w:color="auto" w:fill="FFFFFF"/>
        <w:spacing w:after="0" w:line="288" w:lineRule="auto"/>
        <w:jc w:val="both"/>
        <w:rPr>
          <w:rFonts w:eastAsia="Times New Roman" w:cs="Times New Roman"/>
          <w:iCs/>
          <w:spacing w:val="2"/>
          <w:szCs w:val="28"/>
          <w:lang w:eastAsia="en-GB"/>
        </w:rPr>
      </w:pPr>
      <w:r>
        <w:rPr>
          <w:rFonts w:eastAsia="Times New Roman" w:cs="Times New Roman"/>
          <w:iCs/>
          <w:spacing w:val="2"/>
          <w:szCs w:val="28"/>
          <w:lang w:eastAsia="en-GB"/>
        </w:rPr>
        <w:t>1. Luật này có hiệu lực thi hành từ ngày 01 tháng 7 năm 2024.</w:t>
      </w:r>
    </w:p>
    <w:p>
      <w:pPr>
        <w:shd w:val="clear" w:color="auto" w:fill="FFFFFF"/>
        <w:spacing w:after="0" w:line="288" w:lineRule="auto"/>
        <w:jc w:val="both"/>
        <w:rPr>
          <w:rFonts w:eastAsia="Times New Roman" w:cs="Times New Roman"/>
          <w:iCs/>
          <w:spacing w:val="2"/>
          <w:szCs w:val="28"/>
          <w:lang w:eastAsia="en-GB"/>
        </w:rPr>
      </w:pPr>
      <w:r>
        <w:rPr>
          <w:rFonts w:eastAsia="Times New Roman" w:cs="Times New Roman"/>
          <w:iCs/>
          <w:spacing w:val="2"/>
          <w:szCs w:val="28"/>
          <w:lang w:eastAsia="en-GB"/>
        </w:rPr>
        <w:t>2. Luật Bảo vệ quyền lợi người tiêu dùng số 59/2010/QH12 đã được sửa đổi, bổ sung một số điều theo Luật số 35/2018/QH14 hết hiệu lực kể từ ngày Luật này có hiệu lực thi hành, trừ trường hợp quy định tại điểm a khoản 1 và khoản 2 Điều 80 của Luật này.</w:t>
      </w:r>
    </w:p>
    <w:p>
      <w:pPr>
        <w:shd w:val="clear" w:color="auto" w:fill="FFFFFF"/>
        <w:spacing w:after="0" w:line="288" w:lineRule="auto"/>
        <w:ind w:firstLine="720"/>
        <w:outlineLvl w:val="1"/>
        <w:rPr>
          <w:rFonts w:eastAsia="Times New Roman" w:cs="Times New Roman"/>
          <w:spacing w:val="2"/>
          <w:szCs w:val="28"/>
          <w:u w:val="single"/>
          <w:lang w:eastAsia="en-GB"/>
        </w:rPr>
      </w:pPr>
      <w:r>
        <w:rPr>
          <w:rFonts w:eastAsia="Times New Roman" w:cs="Times New Roman"/>
          <w:b/>
          <w:bCs/>
          <w:spacing w:val="2"/>
          <w:szCs w:val="28"/>
          <w:u w:val="single"/>
          <w:lang w:eastAsia="en-GB"/>
        </w:rPr>
        <w:t>5. </w:t>
      </w:r>
      <w:hyperlink r:id="rId18" w:tgtFrame="_blank" w:history="1">
        <w:r>
          <w:rPr>
            <w:rFonts w:eastAsia="Times New Roman" w:cs="Times New Roman"/>
            <w:b/>
            <w:bCs/>
            <w:spacing w:val="2"/>
            <w:szCs w:val="28"/>
            <w:u w:val="single"/>
            <w:lang w:eastAsia="en-GB"/>
          </w:rPr>
          <w:t>Luật Phòng thủ Dân sự 2023</w:t>
        </w:r>
      </w:hyperlink>
    </w:p>
    <w:p>
      <w:pPr>
        <w:shd w:val="clear" w:color="auto" w:fill="FFFFFF"/>
        <w:spacing w:after="0" w:line="288" w:lineRule="auto"/>
        <w:ind w:firstLine="720"/>
        <w:jc w:val="both"/>
        <w:rPr>
          <w:rFonts w:eastAsia="Times New Roman" w:cs="Times New Roman"/>
          <w:iCs/>
          <w:spacing w:val="2"/>
          <w:szCs w:val="28"/>
          <w:lang w:eastAsia="en-GB"/>
        </w:rPr>
      </w:pPr>
      <w:hyperlink r:id="rId19" w:tgtFrame="_blank" w:history="1">
        <w:r>
          <w:rPr>
            <w:rFonts w:eastAsia="Times New Roman" w:cs="Times New Roman"/>
            <w:spacing w:val="2"/>
            <w:szCs w:val="28"/>
            <w:lang w:eastAsia="en-GB"/>
          </w:rPr>
          <w:t>Luật số: 18/2023/QH15</w:t>
        </w:r>
      </w:hyperlink>
      <w:r>
        <w:rPr>
          <w:rFonts w:eastAsia="Times New Roman" w:cs="Times New Roman"/>
          <w:spacing w:val="2"/>
          <w:szCs w:val="28"/>
          <w:lang w:eastAsia="en-GB"/>
        </w:rPr>
        <w:t xml:space="preserve">; ban hành ngày 20/6/2023; </w:t>
      </w:r>
      <w:r>
        <w:rPr>
          <w:rFonts w:eastAsia="Times New Roman" w:cs="Times New Roman"/>
          <w:bCs/>
          <w:iCs/>
          <w:spacing w:val="2"/>
          <w:szCs w:val="28"/>
          <w:lang w:eastAsia="en-GB"/>
        </w:rPr>
        <w:t>Điều 55. Hiệu lực thi hành –</w:t>
      </w:r>
      <w:hyperlink r:id="rId20" w:tgtFrame="_blank" w:history="1">
        <w:r>
          <w:rPr>
            <w:rFonts w:eastAsia="Times New Roman" w:cs="Times New Roman"/>
            <w:bCs/>
            <w:iCs/>
            <w:spacing w:val="2"/>
            <w:szCs w:val="28"/>
            <w:lang w:eastAsia="en-GB"/>
          </w:rPr>
          <w:t> Luật Phòng thủ Dân sự 2023</w:t>
        </w:r>
      </w:hyperlink>
    </w:p>
    <w:p>
      <w:pPr>
        <w:shd w:val="clear" w:color="auto" w:fill="FFFFFF"/>
        <w:spacing w:after="0" w:line="288" w:lineRule="auto"/>
        <w:jc w:val="both"/>
        <w:rPr>
          <w:rFonts w:eastAsia="Times New Roman" w:cs="Times New Roman"/>
          <w:iCs/>
          <w:spacing w:val="2"/>
          <w:szCs w:val="28"/>
          <w:lang w:eastAsia="en-GB"/>
        </w:rPr>
      </w:pPr>
      <w:r>
        <w:rPr>
          <w:rFonts w:eastAsia="Times New Roman" w:cs="Times New Roman"/>
          <w:iCs/>
          <w:spacing w:val="2"/>
          <w:szCs w:val="28"/>
          <w:lang w:eastAsia="en-GB"/>
        </w:rPr>
        <w:t>Luật này có hiệu lực thi hành từ ngày 01 tháng 7 năm 2024.</w:t>
      </w:r>
    </w:p>
    <w:p>
      <w:pPr>
        <w:shd w:val="clear" w:color="auto" w:fill="FFFFFF"/>
        <w:spacing w:after="0" w:line="288" w:lineRule="auto"/>
        <w:ind w:firstLine="720"/>
        <w:outlineLvl w:val="1"/>
        <w:rPr>
          <w:rFonts w:eastAsia="Times New Roman" w:cs="Times New Roman"/>
          <w:spacing w:val="2"/>
          <w:szCs w:val="28"/>
          <w:u w:val="single"/>
          <w:lang w:eastAsia="en-GB"/>
        </w:rPr>
      </w:pPr>
      <w:r>
        <w:rPr>
          <w:rFonts w:eastAsia="Times New Roman" w:cs="Times New Roman"/>
          <w:b/>
          <w:bCs/>
          <w:spacing w:val="2"/>
          <w:szCs w:val="28"/>
          <w:u w:val="single"/>
          <w:lang w:eastAsia="en-GB"/>
        </w:rPr>
        <w:t>6. </w:t>
      </w:r>
      <w:hyperlink r:id="rId21" w:tgtFrame="_blank" w:history="1">
        <w:r>
          <w:rPr>
            <w:rFonts w:eastAsia="Times New Roman" w:cs="Times New Roman"/>
            <w:b/>
            <w:bCs/>
            <w:spacing w:val="2"/>
            <w:szCs w:val="28"/>
            <w:u w:val="single"/>
            <w:lang w:eastAsia="en-GB"/>
          </w:rPr>
          <w:t>Luật sửa đổi, bổ sung một số điều của Luật công an nhân dân 2023</w:t>
        </w:r>
      </w:hyperlink>
    </w:p>
    <w:p>
      <w:pPr>
        <w:shd w:val="clear" w:color="auto" w:fill="FFFFFF"/>
        <w:spacing w:after="0" w:line="288" w:lineRule="auto"/>
        <w:jc w:val="both"/>
        <w:rPr>
          <w:rFonts w:eastAsia="Times New Roman" w:cs="Times New Roman"/>
          <w:iCs/>
          <w:spacing w:val="2"/>
          <w:szCs w:val="28"/>
          <w:lang w:eastAsia="en-GB"/>
        </w:rPr>
      </w:pPr>
      <w:hyperlink r:id="rId22" w:tgtFrame="_blank" w:history="1">
        <w:r>
          <w:rPr>
            <w:rFonts w:eastAsia="Times New Roman" w:cs="Times New Roman"/>
            <w:spacing w:val="2"/>
            <w:szCs w:val="28"/>
            <w:lang w:eastAsia="en-GB"/>
          </w:rPr>
          <w:t>Luật số: 21/2023/QH15</w:t>
        </w:r>
      </w:hyperlink>
      <w:r>
        <w:rPr>
          <w:rFonts w:eastAsia="Times New Roman" w:cs="Times New Roman"/>
          <w:spacing w:val="2"/>
          <w:szCs w:val="28"/>
          <w:lang w:eastAsia="en-GB"/>
        </w:rPr>
        <w:t xml:space="preserve">; ban hành ngày 22/6/2023; </w:t>
      </w:r>
      <w:r>
        <w:rPr>
          <w:rFonts w:eastAsia="Times New Roman" w:cs="Times New Roman"/>
          <w:bCs/>
          <w:iCs/>
          <w:spacing w:val="2"/>
          <w:szCs w:val="28"/>
          <w:lang w:eastAsia="en-GB"/>
        </w:rPr>
        <w:t>Điều 2. Hiệu lực thi hành – </w:t>
      </w:r>
      <w:hyperlink r:id="rId23" w:tgtFrame="_blank" w:history="1">
        <w:r>
          <w:rPr>
            <w:rFonts w:eastAsia="Times New Roman" w:cs="Times New Roman"/>
            <w:bCs/>
            <w:iCs/>
            <w:spacing w:val="2"/>
            <w:szCs w:val="28"/>
            <w:lang w:eastAsia="en-GB"/>
          </w:rPr>
          <w:t>Luật sửa đổi, bổ sung một số điều của Luật công an nhân dân 2023</w:t>
        </w:r>
      </w:hyperlink>
    </w:p>
    <w:p>
      <w:pPr>
        <w:shd w:val="clear" w:color="auto" w:fill="FFFFFF"/>
        <w:spacing w:after="0" w:line="288" w:lineRule="auto"/>
        <w:jc w:val="both"/>
        <w:rPr>
          <w:rFonts w:eastAsia="Times New Roman" w:cs="Times New Roman"/>
          <w:iCs/>
          <w:spacing w:val="2"/>
          <w:szCs w:val="28"/>
          <w:lang w:eastAsia="en-GB"/>
        </w:rPr>
      </w:pPr>
      <w:r>
        <w:rPr>
          <w:rFonts w:eastAsia="Times New Roman" w:cs="Times New Roman"/>
          <w:iCs/>
          <w:spacing w:val="2"/>
          <w:szCs w:val="28"/>
          <w:lang w:eastAsia="en-GB"/>
        </w:rPr>
        <w:t>Luật này có hiệu lực thi hành từ ngày 15 tháng 8 năm 2023.</w:t>
      </w:r>
    </w:p>
    <w:p>
      <w:pPr>
        <w:shd w:val="clear" w:color="auto" w:fill="FFFFFF"/>
        <w:spacing w:after="0" w:line="288" w:lineRule="auto"/>
        <w:ind w:firstLine="720"/>
        <w:outlineLvl w:val="1"/>
        <w:rPr>
          <w:rFonts w:eastAsia="Times New Roman" w:cs="Times New Roman"/>
          <w:spacing w:val="2"/>
          <w:szCs w:val="28"/>
          <w:u w:val="single"/>
          <w:lang w:eastAsia="en-GB"/>
        </w:rPr>
      </w:pPr>
      <w:r>
        <w:rPr>
          <w:rFonts w:eastAsia="Times New Roman" w:cs="Times New Roman"/>
          <w:b/>
          <w:bCs/>
          <w:spacing w:val="2"/>
          <w:szCs w:val="28"/>
          <w:u w:val="single"/>
          <w:lang w:eastAsia="en-GB"/>
        </w:rPr>
        <w:t>7. </w:t>
      </w:r>
      <w:hyperlink r:id="rId24" w:tgtFrame="_blank" w:history="1">
        <w:r>
          <w:rPr>
            <w:rFonts w:eastAsia="Times New Roman" w:cs="Times New Roman"/>
            <w:b/>
            <w:bCs/>
            <w:spacing w:val="2"/>
            <w:szCs w:val="28"/>
            <w:u w:val="single"/>
            <w:lang w:eastAsia="en-GB"/>
          </w:rPr>
          <w:t>Luật Giao dịch điện tử 2023</w:t>
        </w:r>
      </w:hyperlink>
    </w:p>
    <w:p>
      <w:pPr>
        <w:shd w:val="clear" w:color="auto" w:fill="FFFFFF"/>
        <w:spacing w:after="0" w:line="288" w:lineRule="auto"/>
        <w:ind w:firstLine="720"/>
        <w:jc w:val="both"/>
        <w:rPr>
          <w:rFonts w:eastAsia="Times New Roman" w:cs="Times New Roman"/>
          <w:iCs/>
          <w:spacing w:val="2"/>
          <w:szCs w:val="28"/>
          <w:lang w:eastAsia="en-GB"/>
        </w:rPr>
      </w:pPr>
      <w:hyperlink r:id="rId25" w:tgtFrame="_blank" w:history="1">
        <w:r>
          <w:rPr>
            <w:rFonts w:eastAsia="Times New Roman" w:cs="Times New Roman"/>
            <w:spacing w:val="2"/>
            <w:szCs w:val="28"/>
            <w:lang w:eastAsia="en-GB"/>
          </w:rPr>
          <w:t>Luật số: 20/2023/QH15</w:t>
        </w:r>
      </w:hyperlink>
      <w:r>
        <w:rPr>
          <w:rFonts w:eastAsia="Times New Roman" w:cs="Times New Roman"/>
          <w:spacing w:val="2"/>
          <w:szCs w:val="28"/>
          <w:lang w:eastAsia="en-GB"/>
        </w:rPr>
        <w:t xml:space="preserve">; ban hành ngày 22/6/2023; </w:t>
      </w:r>
      <w:r>
        <w:rPr>
          <w:rFonts w:eastAsia="Times New Roman" w:cs="Times New Roman"/>
          <w:bCs/>
          <w:iCs/>
          <w:spacing w:val="2"/>
          <w:szCs w:val="28"/>
          <w:lang w:eastAsia="en-GB"/>
        </w:rPr>
        <w:t>Điều 52. Hiệu lực thi hành – </w:t>
      </w:r>
      <w:hyperlink r:id="rId26" w:tgtFrame="_blank" w:history="1">
        <w:r>
          <w:rPr>
            <w:rFonts w:eastAsia="Times New Roman" w:cs="Times New Roman"/>
            <w:bCs/>
            <w:iCs/>
            <w:spacing w:val="2"/>
            <w:szCs w:val="28"/>
            <w:lang w:eastAsia="en-GB"/>
          </w:rPr>
          <w:t>Luật Giao dịch điện tử 2023</w:t>
        </w:r>
      </w:hyperlink>
    </w:p>
    <w:p>
      <w:pPr>
        <w:shd w:val="clear" w:color="auto" w:fill="FFFFFF"/>
        <w:spacing w:after="0" w:line="288" w:lineRule="auto"/>
        <w:jc w:val="both"/>
        <w:rPr>
          <w:rFonts w:eastAsia="Times New Roman" w:cs="Times New Roman"/>
          <w:iCs/>
          <w:spacing w:val="2"/>
          <w:szCs w:val="28"/>
          <w:lang w:eastAsia="en-GB"/>
        </w:rPr>
      </w:pPr>
      <w:r>
        <w:rPr>
          <w:rFonts w:eastAsia="Times New Roman" w:cs="Times New Roman"/>
          <w:iCs/>
          <w:spacing w:val="2"/>
          <w:szCs w:val="28"/>
          <w:lang w:eastAsia="en-GB"/>
        </w:rPr>
        <w:t>1. Luật này có hiệu lực thi hành từ ngày 01 tháng 7 năm 2024.</w:t>
      </w:r>
    </w:p>
    <w:p>
      <w:pPr>
        <w:shd w:val="clear" w:color="auto" w:fill="FFFFFF"/>
        <w:spacing w:after="0" w:line="288" w:lineRule="auto"/>
        <w:jc w:val="both"/>
        <w:rPr>
          <w:rFonts w:eastAsia="Times New Roman" w:cs="Times New Roman"/>
          <w:iCs/>
          <w:spacing w:val="2"/>
          <w:szCs w:val="28"/>
          <w:lang w:eastAsia="en-GB"/>
        </w:rPr>
      </w:pPr>
      <w:r>
        <w:rPr>
          <w:rFonts w:eastAsia="Times New Roman" w:cs="Times New Roman"/>
          <w:iCs/>
          <w:spacing w:val="2"/>
          <w:szCs w:val="28"/>
          <w:lang w:eastAsia="en-GB"/>
        </w:rPr>
        <w:t>2. Luật Giao dịch điện tử số 51/2005/QH11 hết hiệu lực kể từ ngày Luật này có hiệu lực thi hành, trừ trường hợp quy định tại Điều 53 của Luật này.</w:t>
      </w:r>
    </w:p>
    <w:p>
      <w:pPr>
        <w:shd w:val="clear" w:color="auto" w:fill="FFFFFF"/>
        <w:spacing w:after="0" w:line="288" w:lineRule="auto"/>
        <w:ind w:firstLine="720"/>
        <w:outlineLvl w:val="1"/>
        <w:rPr>
          <w:rFonts w:eastAsia="Times New Roman" w:cs="Times New Roman"/>
          <w:spacing w:val="2"/>
          <w:szCs w:val="28"/>
          <w:u w:val="single"/>
          <w:lang w:eastAsia="en-GB"/>
        </w:rPr>
      </w:pPr>
      <w:r>
        <w:rPr>
          <w:rFonts w:eastAsia="Times New Roman" w:cs="Times New Roman"/>
          <w:b/>
          <w:bCs/>
          <w:spacing w:val="2"/>
          <w:szCs w:val="28"/>
          <w:u w:val="single"/>
          <w:lang w:eastAsia="en-GB"/>
        </w:rPr>
        <w:t>8. </w:t>
      </w:r>
      <w:hyperlink r:id="rId27" w:tgtFrame="_blank" w:history="1">
        <w:r>
          <w:rPr>
            <w:rFonts w:eastAsia="Times New Roman" w:cs="Times New Roman"/>
            <w:b/>
            <w:bCs/>
            <w:spacing w:val="2"/>
            <w:szCs w:val="28"/>
            <w:u w:val="single"/>
            <w:lang w:eastAsia="en-GB"/>
          </w:rPr>
          <w:t>Luật Đấu thầu 2023</w:t>
        </w:r>
      </w:hyperlink>
    </w:p>
    <w:p>
      <w:pPr>
        <w:shd w:val="clear" w:color="auto" w:fill="FFFFFF"/>
        <w:spacing w:after="0" w:line="288" w:lineRule="auto"/>
        <w:ind w:firstLine="720"/>
        <w:jc w:val="both"/>
        <w:rPr>
          <w:rFonts w:eastAsia="Times New Roman" w:cs="Times New Roman"/>
          <w:iCs/>
          <w:spacing w:val="2"/>
          <w:szCs w:val="28"/>
          <w:lang w:eastAsia="en-GB"/>
        </w:rPr>
      </w:pPr>
      <w:hyperlink r:id="rId28" w:tgtFrame="_blank" w:history="1">
        <w:r>
          <w:rPr>
            <w:rFonts w:eastAsia="Times New Roman" w:cs="Times New Roman"/>
            <w:spacing w:val="2"/>
            <w:szCs w:val="28"/>
            <w:lang w:eastAsia="en-GB"/>
          </w:rPr>
          <w:t>Luật số: 22/2023/QH15</w:t>
        </w:r>
      </w:hyperlink>
      <w:r>
        <w:rPr>
          <w:rFonts w:eastAsia="Times New Roman" w:cs="Times New Roman"/>
          <w:spacing w:val="2"/>
          <w:szCs w:val="28"/>
          <w:lang w:eastAsia="en-GB"/>
        </w:rPr>
        <w:t xml:space="preserve">; ban hành ngày 23/6/2023; </w:t>
      </w:r>
      <w:r>
        <w:rPr>
          <w:rFonts w:eastAsia="Times New Roman" w:cs="Times New Roman"/>
          <w:bCs/>
          <w:iCs/>
          <w:spacing w:val="2"/>
          <w:szCs w:val="28"/>
          <w:lang w:eastAsia="en-GB"/>
        </w:rPr>
        <w:t>Điều 95. Hiệu lực thi hành – </w:t>
      </w:r>
      <w:hyperlink r:id="rId29" w:tgtFrame="_blank" w:history="1">
        <w:r>
          <w:rPr>
            <w:rFonts w:eastAsia="Times New Roman" w:cs="Times New Roman"/>
            <w:bCs/>
            <w:iCs/>
            <w:spacing w:val="2"/>
            <w:szCs w:val="28"/>
            <w:lang w:eastAsia="en-GB"/>
          </w:rPr>
          <w:t>Luật Đấu thầu 2023</w:t>
        </w:r>
      </w:hyperlink>
    </w:p>
    <w:p>
      <w:pPr>
        <w:shd w:val="clear" w:color="auto" w:fill="FFFFFF"/>
        <w:spacing w:after="0" w:line="288" w:lineRule="auto"/>
        <w:jc w:val="both"/>
        <w:rPr>
          <w:rFonts w:eastAsia="Times New Roman" w:cs="Times New Roman"/>
          <w:iCs/>
          <w:spacing w:val="2"/>
          <w:szCs w:val="28"/>
          <w:lang w:eastAsia="en-GB"/>
        </w:rPr>
      </w:pPr>
      <w:r>
        <w:rPr>
          <w:rFonts w:eastAsia="Times New Roman" w:cs="Times New Roman"/>
          <w:iCs/>
          <w:spacing w:val="2"/>
          <w:szCs w:val="28"/>
          <w:lang w:eastAsia="en-GB"/>
        </w:rPr>
        <w:t>1. Luật này có hiệu lực thi hành từ ngày 01 tháng 01 năm 2024.</w:t>
      </w:r>
    </w:p>
    <w:p>
      <w:pPr>
        <w:shd w:val="clear" w:color="auto" w:fill="FFFFFF"/>
        <w:spacing w:after="0" w:line="288" w:lineRule="auto"/>
        <w:jc w:val="both"/>
        <w:rPr>
          <w:rFonts w:eastAsia="Times New Roman" w:cs="Times New Roman"/>
          <w:iCs/>
          <w:spacing w:val="2"/>
          <w:szCs w:val="28"/>
          <w:lang w:eastAsia="en-GB"/>
        </w:rPr>
      </w:pPr>
      <w:r>
        <w:rPr>
          <w:rFonts w:eastAsia="Times New Roman" w:cs="Times New Roman"/>
          <w:iCs/>
          <w:spacing w:val="2"/>
          <w:szCs w:val="28"/>
          <w:lang w:eastAsia="en-GB"/>
        </w:rPr>
        <w:t>2. Luật Đấu thầu số 43/2013/QH13 đã được sửa đổi, bổ sung một số điều theo Luật số 03/2016/QH14, Luật số 04/2017/QH14, Luật số 40/2019/QH14, Luật số 64/2020/QH14 và Luật số 03/2022/QH15 (sau đây gọi là Luật Đấu thầu số 43/2013/QH13) hết hiệu lực kể từ ngày Luật này có hiệu lực thi hành, trừ quy định tại Điều 96 của Luật này.</w:t>
      </w:r>
    </w:p>
    <w:p>
      <w:pPr>
        <w:shd w:val="clear" w:color="auto" w:fill="FFFFFF"/>
        <w:spacing w:after="0" w:line="288" w:lineRule="auto"/>
        <w:jc w:val="both"/>
        <w:rPr>
          <w:rFonts w:eastAsia="Times New Roman" w:cs="Times New Roman"/>
          <w:iCs/>
          <w:spacing w:val="2"/>
          <w:szCs w:val="28"/>
          <w:lang w:eastAsia="en-GB"/>
        </w:rPr>
      </w:pPr>
      <w:r>
        <w:rPr>
          <w:rFonts w:eastAsia="Times New Roman" w:cs="Times New Roman"/>
          <w:iCs/>
          <w:spacing w:val="2"/>
          <w:szCs w:val="28"/>
          <w:lang w:eastAsia="en-GB"/>
        </w:rPr>
        <w:t>3. Hợp đồng được ký kết theo quy định tại điểm a khoản 1 Điều 55 của Luật này được thực hiện trong thời hạn quy định tại hợp đồng nhưng không quá 05 năm kể từ ngày Luật này có hiệu lực thi hành.</w:t>
      </w:r>
    </w:p>
    <w:p>
      <w:pPr>
        <w:shd w:val="clear" w:color="auto" w:fill="FFFFFF"/>
        <w:spacing w:after="0" w:line="288" w:lineRule="auto"/>
        <w:ind w:firstLine="720"/>
        <w:jc w:val="both"/>
        <w:outlineLvl w:val="1"/>
        <w:rPr>
          <w:rFonts w:eastAsia="Times New Roman" w:cs="Times New Roman"/>
          <w:spacing w:val="2"/>
          <w:szCs w:val="28"/>
          <w:u w:val="single"/>
          <w:lang w:eastAsia="en-GB"/>
        </w:rPr>
      </w:pPr>
      <w:r>
        <w:rPr>
          <w:rFonts w:eastAsia="Times New Roman" w:cs="Times New Roman"/>
          <w:b/>
          <w:bCs/>
          <w:spacing w:val="2"/>
          <w:szCs w:val="28"/>
          <w:u w:val="single"/>
          <w:lang w:eastAsia="en-GB"/>
        </w:rPr>
        <w:lastRenderedPageBreak/>
        <w:t>9. </w:t>
      </w:r>
      <w:hyperlink r:id="rId30" w:tgtFrame="_blank" w:history="1">
        <w:r>
          <w:rPr>
            <w:rFonts w:eastAsia="Times New Roman" w:cs="Times New Roman"/>
            <w:b/>
            <w:bCs/>
            <w:spacing w:val="2"/>
            <w:szCs w:val="28"/>
            <w:u w:val="single"/>
            <w:lang w:eastAsia="en-GB"/>
          </w:rPr>
          <w:t>Luật sửa đổi, bổ sung một số điều của Luật xuất cảnh, nhập cảnh của công dân Việt Nam và Luật nhập cảnh, xuất cảnh, quá cảnh, cư trú của người nước ngoài tại Việt Nam 2023</w:t>
        </w:r>
      </w:hyperlink>
    </w:p>
    <w:p>
      <w:pPr>
        <w:shd w:val="clear" w:color="auto" w:fill="FFFFFF"/>
        <w:spacing w:after="0" w:line="288" w:lineRule="auto"/>
        <w:ind w:firstLine="720"/>
        <w:jc w:val="both"/>
        <w:rPr>
          <w:rFonts w:eastAsia="Times New Roman" w:cs="Times New Roman"/>
          <w:iCs/>
          <w:spacing w:val="2"/>
          <w:szCs w:val="28"/>
          <w:lang w:eastAsia="en-GB"/>
        </w:rPr>
      </w:pPr>
      <w:hyperlink r:id="rId31" w:tgtFrame="_blank" w:history="1">
        <w:r>
          <w:rPr>
            <w:rFonts w:eastAsia="Times New Roman" w:cs="Times New Roman"/>
            <w:spacing w:val="2"/>
            <w:szCs w:val="28"/>
            <w:lang w:eastAsia="en-GB"/>
          </w:rPr>
          <w:t>Luật số: 23/2023/QH15</w:t>
        </w:r>
      </w:hyperlink>
      <w:r>
        <w:rPr>
          <w:rFonts w:eastAsia="Times New Roman" w:cs="Times New Roman"/>
          <w:spacing w:val="2"/>
          <w:szCs w:val="28"/>
          <w:lang w:eastAsia="en-GB"/>
        </w:rPr>
        <w:t xml:space="preserve">; ban hành ngày 24/6/2023; </w:t>
      </w:r>
      <w:r>
        <w:rPr>
          <w:rFonts w:eastAsia="Times New Roman" w:cs="Times New Roman"/>
          <w:bCs/>
          <w:iCs/>
          <w:spacing w:val="2"/>
          <w:szCs w:val="28"/>
          <w:lang w:eastAsia="en-GB"/>
        </w:rPr>
        <w:t>Điều 3. Điều khoản thi hành – </w:t>
      </w:r>
      <w:hyperlink r:id="rId32" w:tgtFrame="_blank" w:history="1">
        <w:r>
          <w:rPr>
            <w:rFonts w:eastAsia="Times New Roman" w:cs="Times New Roman"/>
            <w:bCs/>
            <w:iCs/>
            <w:spacing w:val="2"/>
            <w:szCs w:val="28"/>
            <w:lang w:eastAsia="en-GB"/>
          </w:rPr>
          <w:t>Luật sửa đổi, bổ sung một số điều của Luật xuất cảnh, nhập cảnh của công dân Việt Nam và Luật nhập cảnh, xuất cảnh, quá cảnh, cư trú của người nước ngoài tại Việt Nam 2023</w:t>
        </w:r>
      </w:hyperlink>
    </w:p>
    <w:p>
      <w:pPr>
        <w:shd w:val="clear" w:color="auto" w:fill="FFFFFF"/>
        <w:spacing w:after="0" w:line="288" w:lineRule="auto"/>
        <w:jc w:val="both"/>
        <w:rPr>
          <w:rFonts w:eastAsia="Times New Roman" w:cs="Times New Roman"/>
          <w:iCs/>
          <w:spacing w:val="2"/>
          <w:szCs w:val="28"/>
          <w:lang w:eastAsia="en-GB"/>
        </w:rPr>
      </w:pPr>
      <w:r>
        <w:rPr>
          <w:rFonts w:eastAsia="Times New Roman" w:cs="Times New Roman"/>
          <w:iCs/>
          <w:spacing w:val="2"/>
          <w:szCs w:val="28"/>
          <w:lang w:eastAsia="en-GB"/>
        </w:rPr>
        <w:t>1. Luật này có hiệu lực thi hành từ ngày 15 tháng 8 năm 2023.</w:t>
      </w:r>
    </w:p>
    <w:p>
      <w:pPr>
        <w:shd w:val="clear" w:color="auto" w:fill="FFFFFF"/>
        <w:spacing w:after="0" w:line="288" w:lineRule="auto"/>
        <w:jc w:val="both"/>
        <w:rPr>
          <w:rFonts w:eastAsia="Times New Roman" w:cs="Times New Roman"/>
          <w:iCs/>
          <w:spacing w:val="2"/>
          <w:szCs w:val="28"/>
          <w:lang w:eastAsia="en-GB"/>
        </w:rPr>
      </w:pPr>
      <w:r>
        <w:rPr>
          <w:rFonts w:eastAsia="Times New Roman" w:cs="Times New Roman"/>
          <w:iCs/>
          <w:spacing w:val="2"/>
          <w:szCs w:val="28"/>
          <w:lang w:eastAsia="en-GB"/>
        </w:rPr>
        <w:t>2. Giấy tờ xuất nhập cảnh đã cấp cho công dân trước ngày Luật này có hiệu lực thi hành có giá trị sử dụng đến hết thời hạn ghi trong giấy tờ đó.</w:t>
      </w:r>
    </w:p>
    <w:p>
      <w:pPr>
        <w:shd w:val="clear" w:color="auto" w:fill="FFFFFF"/>
        <w:spacing w:after="0" w:line="288" w:lineRule="auto"/>
        <w:jc w:val="both"/>
        <w:rPr>
          <w:rFonts w:eastAsia="Times New Roman" w:cs="Times New Roman"/>
          <w:iCs/>
          <w:spacing w:val="2"/>
          <w:szCs w:val="28"/>
          <w:lang w:eastAsia="en-GB"/>
        </w:rPr>
      </w:pPr>
      <w:r>
        <w:rPr>
          <w:rFonts w:eastAsia="Times New Roman" w:cs="Times New Roman"/>
          <w:iCs/>
          <w:spacing w:val="2"/>
          <w:szCs w:val="28"/>
          <w:lang w:eastAsia="en-GB"/>
        </w:rPr>
        <w:t>3. Trường hợp công dân đề nghị cấp giấy tờ xuất nhập cảnh nhưng chưa được cấp khi Luật này có hiệu lực thi hành thì tiếp tục áp dụng quy định của Luật Xuất cảnh, nhập cảnh của công dân Việt Nam số 49/2019/QH14 để giải quyết.</w:t>
      </w:r>
    </w:p>
    <w:p>
      <w:pPr>
        <w:shd w:val="clear" w:color="auto" w:fill="FFFFFF"/>
        <w:spacing w:after="0" w:line="288" w:lineRule="auto"/>
        <w:jc w:val="both"/>
        <w:rPr>
          <w:rFonts w:eastAsia="Times New Roman" w:cs="Times New Roman"/>
          <w:iCs/>
          <w:spacing w:val="2"/>
          <w:szCs w:val="28"/>
          <w:lang w:eastAsia="en-GB"/>
        </w:rPr>
      </w:pPr>
      <w:r>
        <w:rPr>
          <w:rFonts w:eastAsia="Times New Roman" w:cs="Times New Roman"/>
          <w:iCs/>
          <w:spacing w:val="2"/>
          <w:szCs w:val="28"/>
          <w:lang w:eastAsia="en-GB"/>
        </w:rPr>
        <w:t>4. Trường hợp người nước ngoài đã được cấp thị thực điện tử hoặc nhập cảnh theo diện đơn phương miễn thị thực hoặc đề nghị cấp thị thực điện tử nhưng chưa được cấp khi Luật này có hiệu lực thi hành thì tiếp tục áp dụng quy định của Luật Nhập cảnh, xuất cảnh, quá cảnh, cư trú của người nước ngoài tại Việt Nam số 47/2014/QH13 đã được sửa đổi, bổ sung một số điều theo Luật số 51/2019/QH14.</w:t>
      </w:r>
    </w:p>
    <w:p>
      <w:pPr>
        <w:spacing w:after="0" w:line="288" w:lineRule="auto"/>
        <w:rPr>
          <w:rFonts w:cs="Times New Roman"/>
          <w:szCs w:val="28"/>
        </w:rPr>
      </w:pPr>
    </w:p>
    <w:sectPr>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21002A87" w:usb1="80000000" w:usb2="00000008" w:usb3="00000000" w:csb0="0001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5D649A8"/>
    <w:multiLevelType w:val="multilevel"/>
    <w:tmpl w:val="CBE228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revisionView w:inkAnnotations="0"/>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HAnsi" w:hAnsi="Times New Roman" w:cstheme="minorBidi"/>
        <w:sz w:val="28"/>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link w:val="Heading1Char"/>
    <w:uiPriority w:val="9"/>
    <w:qFormat/>
    <w:pPr>
      <w:spacing w:before="100" w:beforeAutospacing="1" w:after="100" w:afterAutospacing="1" w:line="240" w:lineRule="auto"/>
      <w:outlineLvl w:val="0"/>
    </w:pPr>
    <w:rPr>
      <w:rFonts w:eastAsia="Times New Roman" w:cs="Times New Roman"/>
      <w:b/>
      <w:bCs/>
      <w:kern w:val="36"/>
      <w:sz w:val="48"/>
      <w:szCs w:val="48"/>
      <w:lang w:eastAsia="en-GB"/>
    </w:rPr>
  </w:style>
  <w:style w:type="paragraph" w:styleId="Heading2">
    <w:name w:val="heading 2"/>
    <w:basedOn w:val="Normal"/>
    <w:link w:val="Heading2Char"/>
    <w:uiPriority w:val="9"/>
    <w:qFormat/>
    <w:pPr>
      <w:spacing w:before="100" w:beforeAutospacing="1" w:after="100" w:afterAutospacing="1" w:line="240" w:lineRule="auto"/>
      <w:outlineLvl w:val="1"/>
    </w:pPr>
    <w:rPr>
      <w:rFonts w:eastAsia="Times New Roman" w:cs="Times New Roman"/>
      <w:b/>
      <w:bCs/>
      <w:sz w:val="36"/>
      <w:szCs w:val="36"/>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Pr>
      <w:rFonts w:eastAsia="Times New Roman" w:cs="Times New Roman"/>
      <w:b/>
      <w:bCs/>
      <w:kern w:val="36"/>
      <w:sz w:val="48"/>
      <w:szCs w:val="48"/>
      <w:lang w:eastAsia="en-GB"/>
    </w:rPr>
  </w:style>
  <w:style w:type="character" w:customStyle="1" w:styleId="Heading2Char">
    <w:name w:val="Heading 2 Char"/>
    <w:basedOn w:val="DefaultParagraphFont"/>
    <w:link w:val="Heading2"/>
    <w:uiPriority w:val="9"/>
    <w:rPr>
      <w:rFonts w:eastAsia="Times New Roman" w:cs="Times New Roman"/>
      <w:b/>
      <w:bCs/>
      <w:sz w:val="36"/>
      <w:szCs w:val="36"/>
      <w:lang w:eastAsia="en-GB"/>
    </w:rPr>
  </w:style>
  <w:style w:type="character" w:customStyle="1" w:styleId="float-right">
    <w:name w:val="float-right"/>
    <w:basedOn w:val="DefaultParagraphFont"/>
  </w:style>
  <w:style w:type="paragraph" w:customStyle="1" w:styleId="pintro">
    <w:name w:val="pintro"/>
    <w:basedOn w:val="Normal"/>
    <w:pPr>
      <w:spacing w:before="100" w:beforeAutospacing="1" w:after="100" w:afterAutospacing="1" w:line="240" w:lineRule="auto"/>
    </w:pPr>
    <w:rPr>
      <w:rFonts w:eastAsia="Times New Roman" w:cs="Times New Roman"/>
      <w:sz w:val="24"/>
      <w:szCs w:val="24"/>
      <w:lang w:eastAsia="en-GB"/>
    </w:rPr>
  </w:style>
  <w:style w:type="character" w:styleId="Hyperlink">
    <w:name w:val="Hyperlink"/>
    <w:basedOn w:val="DefaultParagraphFont"/>
    <w:uiPriority w:val="99"/>
    <w:semiHidden/>
    <w:unhideWhenUsed/>
    <w:rPr>
      <w:color w:val="0000FF"/>
      <w:u w:val="single"/>
    </w:rPr>
  </w:style>
  <w:style w:type="paragraph" w:styleId="NormalWeb">
    <w:name w:val="Normal (Web)"/>
    <w:basedOn w:val="Normal"/>
    <w:uiPriority w:val="99"/>
    <w:semiHidden/>
    <w:unhideWhenUsed/>
    <w:pPr>
      <w:spacing w:before="100" w:beforeAutospacing="1" w:after="100" w:afterAutospacing="1" w:line="240" w:lineRule="auto"/>
    </w:pPr>
    <w:rPr>
      <w:rFonts w:eastAsia="Times New Roman" w:cs="Times New Roman"/>
      <w:sz w:val="24"/>
      <w:szCs w:val="24"/>
      <w:lang w:eastAsia="en-GB"/>
    </w:rPr>
  </w:style>
  <w:style w:type="character" w:styleId="Strong">
    <w:name w:val="Strong"/>
    <w:basedOn w:val="DefaultParagraphFont"/>
    <w:uiPriority w:val="22"/>
    <w:qFormat/>
    <w:rPr>
      <w:b/>
      <w:bCs/>
    </w:rPr>
  </w:style>
  <w:style w:type="character" w:styleId="Emphasis">
    <w:name w:val="Emphasis"/>
    <w:basedOn w:val="DefaultParagraphFont"/>
    <w:uiPriority w:val="20"/>
    <w:qFormat/>
    <w:rPr>
      <w:i/>
      <w:iCs/>
    </w:rPr>
  </w:style>
  <w:style w:type="paragraph" w:styleId="BalloonText">
    <w:name w:val="Balloon Text"/>
    <w:basedOn w:val="Normal"/>
    <w:link w:val="BalloonTextChar"/>
    <w:uiPriority w:val="99"/>
    <w:semiHidden/>
    <w:unhideWhenUse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heme="minorBidi"/>
        <w:sz w:val="28"/>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link w:val="Heading1Char"/>
    <w:uiPriority w:val="9"/>
    <w:qFormat/>
    <w:pPr>
      <w:spacing w:before="100" w:beforeAutospacing="1" w:after="100" w:afterAutospacing="1" w:line="240" w:lineRule="auto"/>
      <w:outlineLvl w:val="0"/>
    </w:pPr>
    <w:rPr>
      <w:rFonts w:eastAsia="Times New Roman" w:cs="Times New Roman"/>
      <w:b/>
      <w:bCs/>
      <w:kern w:val="36"/>
      <w:sz w:val="48"/>
      <w:szCs w:val="48"/>
      <w:lang w:eastAsia="en-GB"/>
    </w:rPr>
  </w:style>
  <w:style w:type="paragraph" w:styleId="Heading2">
    <w:name w:val="heading 2"/>
    <w:basedOn w:val="Normal"/>
    <w:link w:val="Heading2Char"/>
    <w:uiPriority w:val="9"/>
    <w:qFormat/>
    <w:pPr>
      <w:spacing w:before="100" w:beforeAutospacing="1" w:after="100" w:afterAutospacing="1" w:line="240" w:lineRule="auto"/>
      <w:outlineLvl w:val="1"/>
    </w:pPr>
    <w:rPr>
      <w:rFonts w:eastAsia="Times New Roman" w:cs="Times New Roman"/>
      <w:b/>
      <w:bCs/>
      <w:sz w:val="36"/>
      <w:szCs w:val="36"/>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Pr>
      <w:rFonts w:eastAsia="Times New Roman" w:cs="Times New Roman"/>
      <w:b/>
      <w:bCs/>
      <w:kern w:val="36"/>
      <w:sz w:val="48"/>
      <w:szCs w:val="48"/>
      <w:lang w:eastAsia="en-GB"/>
    </w:rPr>
  </w:style>
  <w:style w:type="character" w:customStyle="1" w:styleId="Heading2Char">
    <w:name w:val="Heading 2 Char"/>
    <w:basedOn w:val="DefaultParagraphFont"/>
    <w:link w:val="Heading2"/>
    <w:uiPriority w:val="9"/>
    <w:rPr>
      <w:rFonts w:eastAsia="Times New Roman" w:cs="Times New Roman"/>
      <w:b/>
      <w:bCs/>
      <w:sz w:val="36"/>
      <w:szCs w:val="36"/>
      <w:lang w:eastAsia="en-GB"/>
    </w:rPr>
  </w:style>
  <w:style w:type="character" w:customStyle="1" w:styleId="float-right">
    <w:name w:val="float-right"/>
    <w:basedOn w:val="DefaultParagraphFont"/>
  </w:style>
  <w:style w:type="paragraph" w:customStyle="1" w:styleId="pintro">
    <w:name w:val="pintro"/>
    <w:basedOn w:val="Normal"/>
    <w:pPr>
      <w:spacing w:before="100" w:beforeAutospacing="1" w:after="100" w:afterAutospacing="1" w:line="240" w:lineRule="auto"/>
    </w:pPr>
    <w:rPr>
      <w:rFonts w:eastAsia="Times New Roman" w:cs="Times New Roman"/>
      <w:sz w:val="24"/>
      <w:szCs w:val="24"/>
      <w:lang w:eastAsia="en-GB"/>
    </w:rPr>
  </w:style>
  <w:style w:type="character" w:styleId="Hyperlink">
    <w:name w:val="Hyperlink"/>
    <w:basedOn w:val="DefaultParagraphFont"/>
    <w:uiPriority w:val="99"/>
    <w:semiHidden/>
    <w:unhideWhenUsed/>
    <w:rPr>
      <w:color w:val="0000FF"/>
      <w:u w:val="single"/>
    </w:rPr>
  </w:style>
  <w:style w:type="paragraph" w:styleId="NormalWeb">
    <w:name w:val="Normal (Web)"/>
    <w:basedOn w:val="Normal"/>
    <w:uiPriority w:val="99"/>
    <w:semiHidden/>
    <w:unhideWhenUsed/>
    <w:pPr>
      <w:spacing w:before="100" w:beforeAutospacing="1" w:after="100" w:afterAutospacing="1" w:line="240" w:lineRule="auto"/>
    </w:pPr>
    <w:rPr>
      <w:rFonts w:eastAsia="Times New Roman" w:cs="Times New Roman"/>
      <w:sz w:val="24"/>
      <w:szCs w:val="24"/>
      <w:lang w:eastAsia="en-GB"/>
    </w:rPr>
  </w:style>
  <w:style w:type="character" w:styleId="Strong">
    <w:name w:val="Strong"/>
    <w:basedOn w:val="DefaultParagraphFont"/>
    <w:uiPriority w:val="22"/>
    <w:qFormat/>
    <w:rPr>
      <w:b/>
      <w:bCs/>
    </w:rPr>
  </w:style>
  <w:style w:type="character" w:styleId="Emphasis">
    <w:name w:val="Emphasis"/>
    <w:basedOn w:val="DefaultParagraphFont"/>
    <w:uiPriority w:val="20"/>
    <w:qFormat/>
    <w:rPr>
      <w:i/>
      <w:iCs/>
    </w:rPr>
  </w:style>
  <w:style w:type="paragraph" w:styleId="BalloonText">
    <w:name w:val="Balloon Text"/>
    <w:basedOn w:val="Normal"/>
    <w:link w:val="BalloonTextChar"/>
    <w:uiPriority w:val="99"/>
    <w:semiHidden/>
    <w:unhideWhenUse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53896556">
      <w:bodyDiv w:val="1"/>
      <w:marLeft w:val="0"/>
      <w:marRight w:val="0"/>
      <w:marTop w:val="0"/>
      <w:marBottom w:val="0"/>
      <w:divBdr>
        <w:top w:val="none" w:sz="0" w:space="0" w:color="auto"/>
        <w:left w:val="none" w:sz="0" w:space="0" w:color="auto"/>
        <w:bottom w:val="none" w:sz="0" w:space="0" w:color="auto"/>
        <w:right w:val="none" w:sz="0" w:space="0" w:color="auto"/>
      </w:divBdr>
      <w:divsChild>
        <w:div w:id="623005071">
          <w:marLeft w:val="0"/>
          <w:marRight w:val="0"/>
          <w:marTop w:val="0"/>
          <w:marBottom w:val="120"/>
          <w:divBdr>
            <w:top w:val="none" w:sz="0" w:space="0" w:color="auto"/>
            <w:left w:val="none" w:sz="0" w:space="0" w:color="auto"/>
            <w:bottom w:val="none" w:sz="0" w:space="0" w:color="auto"/>
            <w:right w:val="none" w:sz="0" w:space="0" w:color="auto"/>
          </w:divBdr>
        </w:div>
        <w:div w:id="1471511178">
          <w:marLeft w:val="0"/>
          <w:marRight w:val="0"/>
          <w:marTop w:val="100"/>
          <w:marBottom w:val="100"/>
          <w:divBdr>
            <w:top w:val="none" w:sz="0" w:space="0" w:color="auto"/>
            <w:left w:val="none" w:sz="0" w:space="0" w:color="auto"/>
            <w:bottom w:val="none" w:sz="0" w:space="0" w:color="auto"/>
            <w:right w:val="none" w:sz="0" w:space="0" w:color="auto"/>
          </w:divBdr>
          <w:divsChild>
            <w:div w:id="2091349576">
              <w:marLeft w:val="0"/>
              <w:marRight w:val="0"/>
              <w:marTop w:val="0"/>
              <w:marBottom w:val="0"/>
              <w:divBdr>
                <w:top w:val="none" w:sz="0" w:space="0" w:color="auto"/>
                <w:left w:val="none" w:sz="0" w:space="0" w:color="auto"/>
                <w:bottom w:val="none" w:sz="0" w:space="0" w:color="auto"/>
                <w:right w:val="none" w:sz="0" w:space="0" w:color="auto"/>
              </w:divBdr>
            </w:div>
          </w:divsChild>
        </w:div>
        <w:div w:id="740325717">
          <w:blockQuote w:val="1"/>
          <w:marLeft w:val="720"/>
          <w:marRight w:val="720"/>
          <w:marTop w:val="100"/>
          <w:marBottom w:val="100"/>
          <w:divBdr>
            <w:top w:val="none" w:sz="0" w:space="0" w:color="auto"/>
            <w:left w:val="none" w:sz="0" w:space="30" w:color="auto"/>
            <w:bottom w:val="none" w:sz="0" w:space="0" w:color="auto"/>
            <w:right w:val="none" w:sz="0" w:space="0" w:color="auto"/>
          </w:divBdr>
        </w:div>
        <w:div w:id="1662197375">
          <w:marLeft w:val="0"/>
          <w:marRight w:val="0"/>
          <w:marTop w:val="0"/>
          <w:marBottom w:val="0"/>
          <w:divBdr>
            <w:top w:val="none" w:sz="0" w:space="0" w:color="auto"/>
            <w:left w:val="none" w:sz="0" w:space="0" w:color="auto"/>
            <w:bottom w:val="none" w:sz="0" w:space="0" w:color="auto"/>
            <w:right w:val="none" w:sz="0" w:space="0" w:color="auto"/>
          </w:divBdr>
        </w:div>
        <w:div w:id="2141994836">
          <w:blockQuote w:val="1"/>
          <w:marLeft w:val="720"/>
          <w:marRight w:val="720"/>
          <w:marTop w:val="100"/>
          <w:marBottom w:val="100"/>
          <w:divBdr>
            <w:top w:val="none" w:sz="0" w:space="0" w:color="auto"/>
            <w:left w:val="none" w:sz="0" w:space="30" w:color="auto"/>
            <w:bottom w:val="none" w:sz="0" w:space="0" w:color="auto"/>
            <w:right w:val="none" w:sz="0" w:space="0" w:color="auto"/>
          </w:divBdr>
        </w:div>
        <w:div w:id="420561945">
          <w:blockQuote w:val="1"/>
          <w:marLeft w:val="720"/>
          <w:marRight w:val="720"/>
          <w:marTop w:val="100"/>
          <w:marBottom w:val="100"/>
          <w:divBdr>
            <w:top w:val="none" w:sz="0" w:space="0" w:color="auto"/>
            <w:left w:val="none" w:sz="0" w:space="30" w:color="auto"/>
            <w:bottom w:val="none" w:sz="0" w:space="0" w:color="auto"/>
            <w:right w:val="none" w:sz="0" w:space="0" w:color="auto"/>
          </w:divBdr>
        </w:div>
        <w:div w:id="341469263">
          <w:blockQuote w:val="1"/>
          <w:marLeft w:val="720"/>
          <w:marRight w:val="720"/>
          <w:marTop w:val="100"/>
          <w:marBottom w:val="100"/>
          <w:divBdr>
            <w:top w:val="none" w:sz="0" w:space="0" w:color="auto"/>
            <w:left w:val="none" w:sz="0" w:space="30" w:color="auto"/>
            <w:bottom w:val="none" w:sz="0" w:space="0" w:color="auto"/>
            <w:right w:val="none" w:sz="0" w:space="0" w:color="auto"/>
          </w:divBdr>
        </w:div>
        <w:div w:id="1138184156">
          <w:blockQuote w:val="1"/>
          <w:marLeft w:val="720"/>
          <w:marRight w:val="720"/>
          <w:marTop w:val="100"/>
          <w:marBottom w:val="100"/>
          <w:divBdr>
            <w:top w:val="none" w:sz="0" w:space="0" w:color="auto"/>
            <w:left w:val="none" w:sz="0" w:space="30" w:color="auto"/>
            <w:bottom w:val="none" w:sz="0" w:space="0" w:color="auto"/>
            <w:right w:val="none" w:sz="0" w:space="0" w:color="auto"/>
          </w:divBdr>
        </w:div>
        <w:div w:id="1444612481">
          <w:blockQuote w:val="1"/>
          <w:marLeft w:val="720"/>
          <w:marRight w:val="720"/>
          <w:marTop w:val="100"/>
          <w:marBottom w:val="100"/>
          <w:divBdr>
            <w:top w:val="none" w:sz="0" w:space="0" w:color="auto"/>
            <w:left w:val="none" w:sz="0" w:space="30" w:color="auto"/>
            <w:bottom w:val="none" w:sz="0" w:space="0" w:color="auto"/>
            <w:right w:val="none" w:sz="0" w:space="0" w:color="auto"/>
          </w:divBdr>
        </w:div>
        <w:div w:id="310868946">
          <w:blockQuote w:val="1"/>
          <w:marLeft w:val="720"/>
          <w:marRight w:val="720"/>
          <w:marTop w:val="100"/>
          <w:marBottom w:val="100"/>
          <w:divBdr>
            <w:top w:val="none" w:sz="0" w:space="0" w:color="auto"/>
            <w:left w:val="none" w:sz="0" w:space="30" w:color="auto"/>
            <w:bottom w:val="none" w:sz="0" w:space="0" w:color="auto"/>
            <w:right w:val="none" w:sz="0" w:space="0" w:color="auto"/>
          </w:divBdr>
        </w:div>
        <w:div w:id="1468281981">
          <w:blockQuote w:val="1"/>
          <w:marLeft w:val="720"/>
          <w:marRight w:val="720"/>
          <w:marTop w:val="100"/>
          <w:marBottom w:val="100"/>
          <w:divBdr>
            <w:top w:val="none" w:sz="0" w:space="0" w:color="auto"/>
            <w:left w:val="none" w:sz="0" w:space="30" w:color="auto"/>
            <w:bottom w:val="none" w:sz="0" w:space="0" w:color="auto"/>
            <w:right w:val="none" w:sz="0" w:space="0" w:color="auto"/>
          </w:divBdr>
        </w:div>
        <w:div w:id="685595911">
          <w:blockQuote w:val="1"/>
          <w:marLeft w:val="720"/>
          <w:marRight w:val="720"/>
          <w:marTop w:val="100"/>
          <w:marBottom w:val="100"/>
          <w:divBdr>
            <w:top w:val="none" w:sz="0" w:space="0" w:color="auto"/>
            <w:left w:val="none" w:sz="0" w:space="3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thuvienphapluat.vn/van-ban/The-thao-Y-te/Luat-15-2023-QH15-kham-benh-chua-benh-372143.aspx?anchor=dieu_120" TargetMode="External"/><Relationship Id="rId13" Type="http://schemas.openxmlformats.org/officeDocument/2006/relationships/hyperlink" Target="https://thuvienphapluat.vn/van-ban/Doanh-nghiep/Luat-Hop-tac-xa-2023-17-2023-QH15-499239.aspx" TargetMode="External"/><Relationship Id="rId18" Type="http://schemas.openxmlformats.org/officeDocument/2006/relationships/hyperlink" Target="https://thuvienphapluat.vn/van-ban/Bo-may-hanh-chinh/Luat-Phong-thu-dan-su-2023-so-18-2023-QH15-519325.aspx" TargetMode="External"/><Relationship Id="rId26" Type="http://schemas.openxmlformats.org/officeDocument/2006/relationships/hyperlink" Target="https://thuvienphapluat.vn/van-ban/Cong-nghe-thong-tin/Luat-Giao-dich-dien-tu-2023-20-2023-QH15-513347.aspx?anchor=dieu_52" TargetMode="External"/><Relationship Id="rId3" Type="http://schemas.microsoft.com/office/2007/relationships/stylesWithEffects" Target="stylesWithEffects.xml"/><Relationship Id="rId21" Type="http://schemas.openxmlformats.org/officeDocument/2006/relationships/hyperlink" Target="https://thuvienphapluat.vn/van-ban/Bo-may-hanh-chinh/Luat-Cong-an-nhan-dan-sua-doi-2023-21-2023-QH15-552424.aspx" TargetMode="External"/><Relationship Id="rId34" Type="http://schemas.openxmlformats.org/officeDocument/2006/relationships/theme" Target="theme/theme1.xml"/><Relationship Id="rId7" Type="http://schemas.openxmlformats.org/officeDocument/2006/relationships/hyperlink" Target="https://thuvienphapluat.vn/van-ban/The-thao-Y-te/Luat-15-2023-QH15-kham-benh-chua-benh-372143.aspx" TargetMode="External"/><Relationship Id="rId12" Type="http://schemas.openxmlformats.org/officeDocument/2006/relationships/hyperlink" Target="https://thuvienphapluat.vn/van-ban/Doanh-nghiep/Luat-Hop-tac-xa-2023-17-2023-QH15-499239.aspx" TargetMode="External"/><Relationship Id="rId17" Type="http://schemas.openxmlformats.org/officeDocument/2006/relationships/hyperlink" Target="https://thuvienphapluat.vn/van-ban/Thuong-mai/Luat-Bao-ve-quyen-loi-nguoi-tieu-dung-2023-19-2023-QH15-500102.aspx?anchor=dieu_79" TargetMode="External"/><Relationship Id="rId25" Type="http://schemas.openxmlformats.org/officeDocument/2006/relationships/hyperlink" Target="https://thuvienphapluat.vn/van-ban/Cong-nghe-thong-tin/Luat-Giao-dich-dien-tu-2023-20-2023-QH15-513347.aspx" TargetMode="External"/><Relationship Id="rId33"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https://thuvienphapluat.vn/van-ban/Thuong-mai/Luat-Bao-ve-quyen-loi-nguoi-tieu-dung-2023-19-2023-QH15-500102.aspx" TargetMode="External"/><Relationship Id="rId20" Type="http://schemas.openxmlformats.org/officeDocument/2006/relationships/hyperlink" Target="https://thuvienphapluat.vn/van-ban/Bo-may-hanh-chinh/Luat-Phong-thu-dan-su-2023-so-18-2023-QH15-519325.aspx?anchor=dieu_55" TargetMode="External"/><Relationship Id="rId29" Type="http://schemas.openxmlformats.org/officeDocument/2006/relationships/hyperlink" Target="https://thuvienphapluat.vn/van-ban/Dau-tu/Luat-Dau-thau-2023-22-2023-QH15-518805.aspx?anchor=dieu_95" TargetMode="External"/><Relationship Id="rId1" Type="http://schemas.openxmlformats.org/officeDocument/2006/relationships/numbering" Target="numbering.xml"/><Relationship Id="rId6" Type="http://schemas.openxmlformats.org/officeDocument/2006/relationships/hyperlink" Target="https://thuvienphapluat.vn/van-ban/The-thao-Y-te/Luat-15-2023-QH15-kham-benh-chua-benh-372143.aspx" TargetMode="External"/><Relationship Id="rId11" Type="http://schemas.openxmlformats.org/officeDocument/2006/relationships/hyperlink" Target="https://thuvienphapluat.vn/van-ban/Tai-chinh-nha-nuoc/Luat-Gia-2023-16-2023-QH15-519324.aspx?anchor=dieu_74" TargetMode="External"/><Relationship Id="rId24" Type="http://schemas.openxmlformats.org/officeDocument/2006/relationships/hyperlink" Target="https://thuvienphapluat.vn/van-ban/Cong-nghe-thong-tin/Luat-Giao-dich-dien-tu-2023-20-2023-QH15-513347.aspx" TargetMode="External"/><Relationship Id="rId32" Type="http://schemas.openxmlformats.org/officeDocument/2006/relationships/hyperlink" Target="https://thuvienphapluat.vn/van-ban/Quyen-dan-su/Luat-Xuat-canh-nhap-canh-cong-dan-Viet-Nam-va-Luat-Nhap-canh-nguoi-nuoc-ngoai-sua-doi-2023-563579.aspx?anchor=dieu_3" TargetMode="External"/><Relationship Id="rId5" Type="http://schemas.openxmlformats.org/officeDocument/2006/relationships/webSettings" Target="webSettings.xml"/><Relationship Id="rId15" Type="http://schemas.openxmlformats.org/officeDocument/2006/relationships/hyperlink" Target="https://thuvienphapluat.vn/van-ban/Thuong-mai/Luat-Bao-ve-quyen-loi-nguoi-tieu-dung-2023-19-2023-QH15-500102.aspx" TargetMode="External"/><Relationship Id="rId23" Type="http://schemas.openxmlformats.org/officeDocument/2006/relationships/hyperlink" Target="https://thuvienphapluat.vn/van-ban/Bo-may-hanh-chinh/Luat-Cong-an-nhan-dan-sua-doi-2023-21-2023-QH15-552424.aspx?anchor=dieu_2" TargetMode="External"/><Relationship Id="rId28" Type="http://schemas.openxmlformats.org/officeDocument/2006/relationships/hyperlink" Target="https://thuvienphapluat.vn/van-ban/Dau-tu/Luat-Dau-thau-2023-22-2023-QH15-518805.aspx" TargetMode="External"/><Relationship Id="rId10" Type="http://schemas.openxmlformats.org/officeDocument/2006/relationships/hyperlink" Target="https://thuvienphapluat.vn/van-ban/Tai-chinh-nha-nuoc/Luat-Gia-2023-16-2023-QH15-519324.aspx" TargetMode="External"/><Relationship Id="rId19" Type="http://schemas.openxmlformats.org/officeDocument/2006/relationships/hyperlink" Target="https://thuvienphapluat.vn/van-ban/Bo-may-hanh-chinh/Luat-Phong-thu-dan-su-2023-so-18-2023-QH15-519325.aspx" TargetMode="External"/><Relationship Id="rId31" Type="http://schemas.openxmlformats.org/officeDocument/2006/relationships/hyperlink" Target="https://thuvienphapluat.vn/van-ban/Quyen-dan-su/Luat-Xuat-canh-nhap-canh-cong-dan-Viet-Nam-va-Luat-Nhap-canh-nguoi-nuoc-ngoai-sua-doi-2023-563579.aspx" TargetMode="External"/><Relationship Id="rId4" Type="http://schemas.openxmlformats.org/officeDocument/2006/relationships/settings" Target="settings.xml"/><Relationship Id="rId9" Type="http://schemas.openxmlformats.org/officeDocument/2006/relationships/hyperlink" Target="https://thuvienphapluat.vn/van-ban/Tai-chinh-nha-nuoc/Luat-Gia-2023-16-2023-QH15-519324.aspx" TargetMode="External"/><Relationship Id="rId14" Type="http://schemas.openxmlformats.org/officeDocument/2006/relationships/hyperlink" Target="https://thuvienphapluat.vn/van-ban/Doanh-nghiep/Luat-Hop-tac-xa-2023-17-2023-QH15-499239.aspx?anchor=dieu_114" TargetMode="External"/><Relationship Id="rId22" Type="http://schemas.openxmlformats.org/officeDocument/2006/relationships/hyperlink" Target="https://thuvienphapluat.vn/van-ban/Bo-may-hanh-chinh/Luat-Cong-an-nhan-dan-sua-doi-2023-21-2023-QH15-552424.aspx?anchor=dieu_2" TargetMode="External"/><Relationship Id="rId27" Type="http://schemas.openxmlformats.org/officeDocument/2006/relationships/hyperlink" Target="https://thuvienphapluat.vn/van-ban/Dau-tu/Luat-Dau-thau-2023-22-2023-QH15-518805.aspx" TargetMode="External"/><Relationship Id="rId30" Type="http://schemas.openxmlformats.org/officeDocument/2006/relationships/hyperlink" Target="https://thuvienphapluat.vn/van-ban/Quyen-dan-su/Luat-Xuat-canh-nhap-canh-cong-dan-Viet-Nam-va-Luat-Nhap-canh-nguoi-nuoc-ngoai-sua-doi-2023-563579.asp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TotalTime>
  <Pages>4</Pages>
  <Words>1642</Words>
  <Characters>9366</Characters>
  <Application>Microsoft Office Word</Application>
  <DocSecurity>0</DocSecurity>
  <Lines>78</Lines>
  <Paragraphs>21</Paragraphs>
  <ScaleCrop>false</ScaleCrop>
  <Company/>
  <LinksUpToDate>false</LinksUpToDate>
  <CharactersWithSpaces>10987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Mrs Loan</dc:creator>
  <cp:lastModifiedBy>Mrs Loan</cp:lastModifiedBy>
  <cp:revision>6</cp:revision>
  <dcterms:created xsi:type="dcterms:W3CDTF">2023-09-15T07:25:00Z</dcterms:created>
  <dcterms:modified xsi:type="dcterms:W3CDTF">2023-09-15T07:31:00Z</dcterms:modified>
</cp:coreProperties>
</file>