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B28A9" w14:textId="77777777" w:rsidR="005F1E83" w:rsidRPr="005F1E83" w:rsidRDefault="005F1E83" w:rsidP="005F1E83">
      <w:pPr>
        <w:spacing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2"/>
          <w:szCs w:val="42"/>
          <w:u w:val="single"/>
        </w:rPr>
      </w:pPr>
      <w:proofErr w:type="spellStart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Hợp</w:t>
      </w:r>
      <w:proofErr w:type="spellEnd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đồng</w:t>
      </w:r>
      <w:proofErr w:type="spellEnd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ủy</w:t>
      </w:r>
      <w:proofErr w:type="spellEnd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quyền</w:t>
      </w:r>
      <w:proofErr w:type="spellEnd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có</w:t>
      </w:r>
      <w:proofErr w:type="spellEnd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bắt</w:t>
      </w:r>
      <w:proofErr w:type="spellEnd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buộc</w:t>
      </w:r>
      <w:proofErr w:type="spellEnd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phải</w:t>
      </w:r>
      <w:proofErr w:type="spellEnd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công</w:t>
      </w:r>
      <w:proofErr w:type="spellEnd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chứng</w:t>
      </w:r>
      <w:proofErr w:type="spellEnd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không</w:t>
      </w:r>
      <w:proofErr w:type="spellEnd"/>
      <w:r w:rsidRPr="005F1E83">
        <w:rPr>
          <w:rFonts w:eastAsia="Times New Roman" w:cs="Times New Roman"/>
          <w:b/>
          <w:bCs/>
          <w:kern w:val="36"/>
          <w:sz w:val="42"/>
          <w:szCs w:val="42"/>
          <w:u w:val="single"/>
        </w:rPr>
        <w:t>?</w:t>
      </w:r>
    </w:p>
    <w:p w14:paraId="6AC7898D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outlineLvl w:val="1"/>
        <w:rPr>
          <w:rFonts w:eastAsia="Times New Roman" w:cs="Times New Roman"/>
          <w:b/>
          <w:bCs/>
          <w:color w:val="2E2E2E"/>
          <w:sz w:val="33"/>
          <w:szCs w:val="33"/>
        </w:rPr>
      </w:pPr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1.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Hợp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đồng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ủy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quyền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có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bắt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buộc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phải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công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chứng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không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?</w:t>
      </w:r>
    </w:p>
    <w:p w14:paraId="03F4D6D8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Căn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cứ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fldChar w:fldCharType="begin"/>
      </w:r>
      <w:r w:rsidRPr="005F1E83">
        <w:rPr>
          <w:rFonts w:eastAsia="Times New Roman" w:cs="Times New Roman"/>
          <w:color w:val="222222"/>
          <w:sz w:val="26"/>
          <w:szCs w:val="26"/>
        </w:rPr>
        <w:instrText xml:space="preserve"> HYPERLINK "https://luatvietnam.vn/dan-su/bo-luat-dan-su-2015-moi-nhat-so-91-2015-qh13-101333-d1.html" </w:instrText>
      </w:r>
      <w:r w:rsidRPr="005F1E83">
        <w:rPr>
          <w:rFonts w:eastAsia="Times New Roman" w:cs="Times New Roman"/>
          <w:color w:val="222222"/>
          <w:sz w:val="26"/>
          <w:szCs w:val="26"/>
        </w:rPr>
        <w:fldChar w:fldCharType="separate"/>
      </w:r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Điều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562 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Bộ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luật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Dân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sự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năm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2015</w:t>
      </w:r>
      <w:r w:rsidRPr="005F1E83">
        <w:rPr>
          <w:rFonts w:eastAsia="Times New Roman" w:cs="Times New Roman"/>
          <w:color w:val="222222"/>
          <w:sz w:val="26"/>
          <w:szCs w:val="26"/>
        </w:rPr>
        <w:fldChar w:fldCharType="end"/>
      </w:r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thoả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số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thay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nhân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danh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.</w:t>
      </w:r>
    </w:p>
    <w:p w14:paraId="62E2D03E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thời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nếu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thoả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phải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trả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thù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lao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.</w:t>
      </w:r>
    </w:p>
    <w:p w14:paraId="325BC812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5F1E83">
        <w:rPr>
          <w:rFonts w:eastAsia="Times New Roman" w:cs="Times New Roman"/>
          <w:color w:val="222222"/>
          <w:sz w:val="26"/>
          <w:szCs w:val="26"/>
        </w:rPr>
        <w:t xml:space="preserve">Theo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câu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trả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lời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câu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hỏi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bắt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buộc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phải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không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Không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bắt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buộc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bởi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những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lý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do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dưới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đây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:</w:t>
      </w:r>
    </w:p>
    <w:p w14:paraId="06172373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Căn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cứ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fldChar w:fldCharType="begin"/>
      </w:r>
      <w:r w:rsidRPr="005F1E83">
        <w:rPr>
          <w:rFonts w:eastAsia="Times New Roman" w:cs="Times New Roman"/>
          <w:color w:val="222222"/>
          <w:sz w:val="26"/>
          <w:szCs w:val="26"/>
        </w:rPr>
        <w:instrText xml:space="preserve"> HYPERLINK "https://luatvietnam.vn/hanh-chinh/luat-53-2014-qh13-quoc-hoi-87931-d1.html" </w:instrText>
      </w:r>
      <w:r w:rsidRPr="005F1E83">
        <w:rPr>
          <w:rFonts w:eastAsia="Times New Roman" w:cs="Times New Roman"/>
          <w:color w:val="222222"/>
          <w:sz w:val="26"/>
          <w:szCs w:val="26"/>
        </w:rPr>
        <w:fldChar w:fldCharType="separate"/>
      </w:r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Điều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55 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Luật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Công 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chứng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2014</w:t>
      </w:r>
      <w:r w:rsidRPr="005F1E83">
        <w:rPr>
          <w:rFonts w:eastAsia="Times New Roman" w:cs="Times New Roman"/>
          <w:color w:val="222222"/>
          <w:sz w:val="26"/>
          <w:szCs w:val="26"/>
        </w:rPr>
        <w:fldChar w:fldCharType="end"/>
      </w:r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chỉ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nêu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thủ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tục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bất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cứ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nào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bắt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buộc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phải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loại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.</w:t>
      </w:r>
    </w:p>
    <w:p w14:paraId="40B79C23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5F1E83">
        <w:rPr>
          <w:rFonts w:eastAsia="Times New Roman" w:cs="Times New Roman"/>
          <w:color w:val="222222"/>
          <w:sz w:val="26"/>
          <w:szCs w:val="26"/>
        </w:rPr>
        <w:t xml:space="preserve">Tuy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nhiên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số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văn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bản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chuyên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ngành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như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hộ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tịch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đất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đai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…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yêu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cầu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văn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bản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bắt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buộc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phải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. Trong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kể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đến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số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loại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bắt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buộc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phải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dưới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đây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:</w:t>
      </w:r>
    </w:p>
    <w:p w14:paraId="5EEDCEBE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5F1E83">
        <w:rPr>
          <w:rFonts w:eastAsia="Times New Roman" w:cs="Times New Roman"/>
          <w:color w:val="222222"/>
          <w:sz w:val="26"/>
          <w:szCs w:val="26"/>
        </w:rPr>
        <w:t xml:space="preserve">-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đăng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ký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hộ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tịch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: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Căn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cứ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fldChar w:fldCharType="begin"/>
      </w:r>
      <w:r w:rsidRPr="005F1E83">
        <w:rPr>
          <w:rFonts w:eastAsia="Times New Roman" w:cs="Times New Roman"/>
          <w:color w:val="222222"/>
          <w:sz w:val="26"/>
          <w:szCs w:val="26"/>
        </w:rPr>
        <w:instrText xml:space="preserve"> HYPERLINK "https://luatvietnam.vn/tu-phap/thong-tu-04-2020-tt-btp-huong-dan-luat-ho-tich-185783-d1.html" </w:instrText>
      </w:r>
      <w:r w:rsidRPr="005F1E83">
        <w:rPr>
          <w:rFonts w:eastAsia="Times New Roman" w:cs="Times New Roman"/>
          <w:color w:val="222222"/>
          <w:sz w:val="26"/>
          <w:szCs w:val="26"/>
        </w:rPr>
        <w:fldChar w:fldCharType="separate"/>
      </w:r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khoản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1 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Điều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2 Thông 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tư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số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04/2020/TT-BTP</w:t>
      </w:r>
      <w:r w:rsidRPr="005F1E83">
        <w:rPr>
          <w:rFonts w:eastAsia="Times New Roman" w:cs="Times New Roman"/>
          <w:color w:val="222222"/>
          <w:sz w:val="26"/>
          <w:szCs w:val="26"/>
        </w:rPr>
        <w:fldChar w:fldCharType="end"/>
      </w:r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người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yêu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cầu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đăng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ký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hộ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tịch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phép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người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khác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trừ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đăng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ký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kết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hôn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đăng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ký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lại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kết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hôn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đăng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ký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cha,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mẹ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con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trực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tiếp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nộp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hồ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sơ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tại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cơ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quan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đăng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ký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cần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quyèn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còn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lại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.</w:t>
      </w:r>
    </w:p>
    <w:p w14:paraId="64213BAB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5F1E83">
        <w:rPr>
          <w:rFonts w:eastAsia="Times New Roman" w:cs="Times New Roman"/>
          <w:color w:val="222222"/>
          <w:sz w:val="26"/>
          <w:szCs w:val="26"/>
        </w:rPr>
        <w:t xml:space="preserve">-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vợ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nhau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mang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thai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hộ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phải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lập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thành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văn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bản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.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người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thứ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giá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trị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lý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tại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fldChar w:fldCharType="begin"/>
      </w:r>
      <w:r w:rsidRPr="005F1E83">
        <w:rPr>
          <w:rFonts w:eastAsia="Times New Roman" w:cs="Times New Roman"/>
          <w:color w:val="222222"/>
          <w:sz w:val="26"/>
          <w:szCs w:val="26"/>
        </w:rPr>
        <w:instrText xml:space="preserve"> HYPERLINK "https://luatvietnam.vn/hon-nhan-gia-dinh/luat-hon-nhan-va-gia-dinh-2014-87930-d1.html" </w:instrText>
      </w:r>
      <w:r w:rsidRPr="005F1E83">
        <w:rPr>
          <w:rFonts w:eastAsia="Times New Roman" w:cs="Times New Roman"/>
          <w:color w:val="222222"/>
          <w:sz w:val="26"/>
          <w:szCs w:val="26"/>
        </w:rPr>
        <w:fldChar w:fldCharType="separate"/>
      </w:r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khoản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2 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Điều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96 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Luật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Hôn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nhân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và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Gia </w:t>
      </w:r>
      <w:proofErr w:type="spellStart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>đình</w:t>
      </w:r>
      <w:proofErr w:type="spellEnd"/>
      <w:r w:rsidRPr="005F1E83">
        <w:rPr>
          <w:rFonts w:eastAsia="Times New Roman" w:cs="Times New Roman"/>
          <w:color w:val="A67942"/>
          <w:sz w:val="26"/>
          <w:szCs w:val="26"/>
          <w:u w:val="single"/>
        </w:rPr>
        <w:t xml:space="preserve"> 2014</w:t>
      </w:r>
      <w:r w:rsidRPr="005F1E83">
        <w:rPr>
          <w:rFonts w:eastAsia="Times New Roman" w:cs="Times New Roman"/>
          <w:color w:val="222222"/>
          <w:sz w:val="26"/>
          <w:szCs w:val="26"/>
        </w:rPr>
        <w:fldChar w:fldCharType="end"/>
      </w:r>
      <w:r w:rsidRPr="005F1E83">
        <w:rPr>
          <w:rFonts w:eastAsia="Times New Roman" w:cs="Times New Roman"/>
          <w:color w:val="222222"/>
          <w:sz w:val="26"/>
          <w:szCs w:val="26"/>
        </w:rPr>
        <w:t>…</w:t>
      </w:r>
    </w:p>
    <w:p w14:paraId="69FAF77E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Như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vậy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mặc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nhiên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phải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mới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giá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trị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lý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trừ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số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bắt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buộc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đã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nêu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ở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.</w:t>
      </w:r>
    </w:p>
    <w:p w14:paraId="5BF59DF3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Đáng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lưu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ý:</w:t>
      </w:r>
      <w:r w:rsidRPr="005F1E83">
        <w:rPr>
          <w:rFonts w:eastAsia="Times New Roman" w:cs="Times New Roman"/>
          <w:color w:val="222222"/>
          <w:sz w:val="26"/>
          <w:szCs w:val="26"/>
        </w:rPr>
        <w:t xml:space="preserve"> Theo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khoản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1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Điều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129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Bộ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năm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2015,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bắt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buộc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phải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nhưng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một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đã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ít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nhất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2/3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nghĩa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vụ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vẫn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hiệu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lực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.</w:t>
      </w:r>
    </w:p>
    <w:p w14:paraId="78AABFBD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outlineLvl w:val="1"/>
        <w:rPr>
          <w:rFonts w:eastAsia="Times New Roman" w:cs="Times New Roman"/>
          <w:b/>
          <w:bCs/>
          <w:color w:val="2E2E2E"/>
          <w:sz w:val="33"/>
          <w:szCs w:val="33"/>
        </w:rPr>
      </w:pPr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2.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Thời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hạn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của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hợp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đồng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ủy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quyền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là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bao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lâu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?</w:t>
      </w:r>
    </w:p>
    <w:p w14:paraId="498AAF45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Thời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hạn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do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do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.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Nếu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thuộc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hai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(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tức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nếu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)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hiệu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lực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01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năm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kể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từ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ngày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xác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lập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(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căn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cứ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tại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Điều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563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Bộ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sự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năm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2015).</w:t>
      </w:r>
    </w:p>
    <w:p w14:paraId="6872BC69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lastRenderedPageBreak/>
        <w:t>Như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vậy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thời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hạn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trước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hết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do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tự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.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Thường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thời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gian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ấn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cụ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tới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hoàn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thành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đã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.</w:t>
      </w:r>
    </w:p>
    <w:p w14:paraId="14B2F9E3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thỏa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thời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hạn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hiệu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lực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01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năm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từ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ngày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xác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lập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ủy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.</w:t>
      </w:r>
    </w:p>
    <w:p w14:paraId="17E0FADC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outlineLvl w:val="1"/>
        <w:rPr>
          <w:rFonts w:eastAsia="Times New Roman" w:cs="Times New Roman"/>
          <w:b/>
          <w:bCs/>
          <w:color w:val="2E2E2E"/>
          <w:sz w:val="33"/>
          <w:szCs w:val="33"/>
        </w:rPr>
      </w:pPr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3.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Thủ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tục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công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chứng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hợp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đồng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uỷ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quyền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chi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tiết</w:t>
      </w:r>
      <w:proofErr w:type="spellEnd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E2E2E"/>
          <w:sz w:val="33"/>
          <w:szCs w:val="33"/>
        </w:rPr>
        <w:t>nhất</w:t>
      </w:r>
      <w:proofErr w:type="spellEnd"/>
    </w:p>
    <w:p w14:paraId="2D047635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5F1E83">
        <w:rPr>
          <w:rFonts w:eastAsia="Times New Roman" w:cs="Times New Roman"/>
          <w:color w:val="222222"/>
          <w:sz w:val="26"/>
          <w:szCs w:val="26"/>
        </w:rPr>
        <w:t xml:space="preserve">Sau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giải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đáp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 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bắt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buộc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phải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color w:val="222222"/>
          <w:sz w:val="26"/>
          <w:szCs w:val="26"/>
        </w:rPr>
        <w:t>không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 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câu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hỏi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đặt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ra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nếu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như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muốn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thuộc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trường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phải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thủ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tục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như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thế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nào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?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Cụ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:</w:t>
      </w:r>
    </w:p>
    <w:p w14:paraId="1F379025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Cần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chuẩn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bị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hồ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sơ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gì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?</w:t>
      </w:r>
    </w:p>
    <w:p w14:paraId="31A19A75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Hồ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sơ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cần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chuẩn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bị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gồm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: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Phiếu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yêu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cầu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;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dự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thảo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tờ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nhân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thân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nhận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gồm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minh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nhân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/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Căn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cước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dân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…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tờ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về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đối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tượng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…</w:t>
      </w:r>
    </w:p>
    <w:p w14:paraId="1FAF4B21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5F1E83">
        <w:rPr>
          <w:rFonts w:eastAsia="Times New Roman" w:cs="Times New Roman"/>
          <w:color w:val="222222"/>
          <w:sz w:val="26"/>
          <w:szCs w:val="26"/>
        </w:rPr>
        <w:t xml:space="preserve">Trong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loại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giấy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tờ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này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bản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sao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bản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sao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cần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xuất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trình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bản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chính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viên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đối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chiếu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bản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sao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với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bản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chính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.</w:t>
      </w:r>
    </w:p>
    <w:p w14:paraId="22E1F58D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Công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ở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đâu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?</w:t>
      </w:r>
    </w:p>
    <w:p w14:paraId="5195DD6A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Để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các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bên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liên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hệ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tổ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hành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nghề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. Trong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thể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đến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Văn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phòng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hoặc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Phòng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nơi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thuận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tiện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nhất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.</w:t>
      </w:r>
    </w:p>
    <w:p w14:paraId="7D5C1860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Thời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gian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là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bao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lâu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?</w:t>
      </w:r>
    </w:p>
    <w:p w14:paraId="51201828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5F1E83">
        <w:rPr>
          <w:rFonts w:eastAsia="Times New Roman" w:cs="Times New Roman"/>
          <w:color w:val="222222"/>
          <w:sz w:val="26"/>
          <w:szCs w:val="26"/>
        </w:rPr>
        <w:t xml:space="preserve">Thông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thường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được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thực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hiện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ngày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làm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.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Nếu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nội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dung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phức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tạp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thì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viên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yêu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cầu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xác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minh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trong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thời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gian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lâu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hơn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.</w:t>
      </w:r>
    </w:p>
    <w:p w14:paraId="574B84FB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5F1E83">
        <w:rPr>
          <w:rFonts w:eastAsia="Times New Roman" w:cs="Times New Roman"/>
          <w:color w:val="222222"/>
          <w:sz w:val="26"/>
          <w:szCs w:val="26"/>
        </w:rPr>
        <w:t xml:space="preserve">Theo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định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pháp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luật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,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thời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giang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giải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quyết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từ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02 - 10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ngày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làm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tuỳ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vào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tính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chất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của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việc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có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phức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tạp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không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.</w:t>
      </w:r>
    </w:p>
    <w:p w14:paraId="073971D8" w14:textId="77777777" w:rsidR="005F1E83" w:rsidRPr="005F1E83" w:rsidRDefault="005F1E83" w:rsidP="005F1E83">
      <w:pPr>
        <w:shd w:val="clear" w:color="auto" w:fill="FFFFFF"/>
        <w:spacing w:before="180" w:after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Phí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là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 xml:space="preserve"> bao </w:t>
      </w:r>
      <w:proofErr w:type="spellStart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nhiêu</w:t>
      </w:r>
      <w:proofErr w:type="spellEnd"/>
      <w:r w:rsidRPr="005F1E83">
        <w:rPr>
          <w:rFonts w:eastAsia="Times New Roman" w:cs="Times New Roman"/>
          <w:b/>
          <w:bCs/>
          <w:i/>
          <w:iCs/>
          <w:color w:val="222222"/>
          <w:sz w:val="26"/>
          <w:szCs w:val="26"/>
        </w:rPr>
        <w:t>?</w:t>
      </w:r>
    </w:p>
    <w:p w14:paraId="41D12B15" w14:textId="77777777" w:rsidR="005F1E83" w:rsidRPr="005F1E83" w:rsidRDefault="005F1E83" w:rsidP="005F1E83">
      <w:pPr>
        <w:shd w:val="clear" w:color="auto" w:fill="FFFFFF"/>
        <w:spacing w:before="180" w:line="240" w:lineRule="auto"/>
        <w:jc w:val="both"/>
        <w:rPr>
          <w:rFonts w:eastAsia="Times New Roman" w:cs="Times New Roman"/>
          <w:color w:val="222222"/>
          <w:sz w:val="26"/>
          <w:szCs w:val="26"/>
        </w:rPr>
      </w:pPr>
      <w:r w:rsidRPr="005F1E83">
        <w:rPr>
          <w:rFonts w:eastAsia="Times New Roman" w:cs="Times New Roman"/>
          <w:color w:val="222222"/>
          <w:sz w:val="26"/>
          <w:szCs w:val="26"/>
        </w:rPr>
        <w:t xml:space="preserve">Công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hợp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uỷ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quyền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sẽ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mất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phí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công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chứng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là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20.000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đồng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phụ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lục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ban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hành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kèm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theo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 xml:space="preserve"> Thông </w:t>
      </w:r>
      <w:proofErr w:type="spellStart"/>
      <w:r w:rsidRPr="005F1E83">
        <w:rPr>
          <w:rFonts w:eastAsia="Times New Roman" w:cs="Times New Roman"/>
          <w:color w:val="222222"/>
          <w:sz w:val="26"/>
          <w:szCs w:val="26"/>
        </w:rPr>
        <w:t>tư</w:t>
      </w:r>
      <w:proofErr w:type="spellEnd"/>
      <w:r w:rsidRPr="005F1E83">
        <w:rPr>
          <w:rFonts w:eastAsia="Times New Roman" w:cs="Times New Roman"/>
          <w:color w:val="222222"/>
          <w:sz w:val="26"/>
          <w:szCs w:val="26"/>
        </w:rPr>
        <w:t> </w:t>
      </w:r>
      <w:hyperlink r:id="rId5" w:history="1">
        <w:r w:rsidRPr="005F1E83">
          <w:rPr>
            <w:rFonts w:eastAsia="Times New Roman" w:cs="Times New Roman"/>
            <w:color w:val="A67942"/>
            <w:sz w:val="26"/>
            <w:szCs w:val="26"/>
            <w:u w:val="single"/>
          </w:rPr>
          <w:t>257/2016/TT-BTC</w:t>
        </w:r>
      </w:hyperlink>
      <w:r w:rsidRPr="005F1E83">
        <w:rPr>
          <w:rFonts w:eastAsia="Times New Roman" w:cs="Times New Roman"/>
          <w:color w:val="222222"/>
          <w:sz w:val="26"/>
          <w:szCs w:val="26"/>
        </w:rPr>
        <w:t>.</w:t>
      </w:r>
    </w:p>
    <w:p w14:paraId="0E9228A1" w14:textId="77777777" w:rsidR="00C1106D" w:rsidRDefault="00C1106D" w:rsidP="005F1E83">
      <w:pPr>
        <w:jc w:val="both"/>
      </w:pPr>
    </w:p>
    <w:p w14:paraId="250ED8F1" w14:textId="77777777" w:rsidR="005F1E83" w:rsidRDefault="005F1E83">
      <w:pPr>
        <w:jc w:val="both"/>
      </w:pPr>
    </w:p>
    <w:sectPr w:rsidR="005F1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E744F"/>
    <w:multiLevelType w:val="multilevel"/>
    <w:tmpl w:val="84E8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E83"/>
    <w:rsid w:val="005F1E83"/>
    <w:rsid w:val="00C1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5F193A"/>
  <w15:chartTrackingRefBased/>
  <w15:docId w15:val="{FC8A7D8E-F832-408C-81CB-31D22FEA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1E8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F1E8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1E83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F1E83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F1E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F1E83"/>
    <w:rPr>
      <w:b/>
      <w:bCs/>
    </w:rPr>
  </w:style>
  <w:style w:type="character" w:customStyle="1" w:styleId="toc-title">
    <w:name w:val="toc-title"/>
    <w:basedOn w:val="DefaultParagraphFont"/>
    <w:rsid w:val="005F1E83"/>
  </w:style>
  <w:style w:type="character" w:customStyle="1" w:styleId="toc-show">
    <w:name w:val="toc-show"/>
    <w:basedOn w:val="DefaultParagraphFont"/>
    <w:rsid w:val="005F1E83"/>
  </w:style>
  <w:style w:type="paragraph" w:customStyle="1" w:styleId="toclevel-4">
    <w:name w:val="toclevel-4"/>
    <w:basedOn w:val="Normal"/>
    <w:rsid w:val="005F1E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toctext">
    <w:name w:val="toctext"/>
    <w:basedOn w:val="DefaultParagraphFont"/>
    <w:rsid w:val="005F1E83"/>
  </w:style>
  <w:style w:type="paragraph" w:styleId="NormalWeb">
    <w:name w:val="Normal (Web)"/>
    <w:basedOn w:val="Normal"/>
    <w:uiPriority w:val="99"/>
    <w:semiHidden/>
    <w:unhideWhenUsed/>
    <w:rsid w:val="005F1E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1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13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3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054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4115">
              <w:marLeft w:val="0"/>
              <w:marRight w:val="0"/>
              <w:marTop w:val="240"/>
              <w:marBottom w:val="240"/>
              <w:divBdr>
                <w:top w:val="single" w:sz="6" w:space="9" w:color="E0E0E0"/>
                <w:left w:val="single" w:sz="6" w:space="12" w:color="E0E0E0"/>
                <w:bottom w:val="single" w:sz="6" w:space="9" w:color="E0E0E0"/>
                <w:right w:val="single" w:sz="6" w:space="12" w:color="E0E0E0"/>
              </w:divBdr>
              <w:divsChild>
                <w:div w:id="1479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uatvietnam.vn/thue/thong-tu-257-2016-tt-btc-bo-tai-chinh-110962-d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Anh</dc:creator>
  <cp:keywords/>
  <dc:description/>
  <cp:lastModifiedBy>Hoang Anh</cp:lastModifiedBy>
  <cp:revision>1</cp:revision>
  <dcterms:created xsi:type="dcterms:W3CDTF">2023-09-26T03:05:00Z</dcterms:created>
  <dcterms:modified xsi:type="dcterms:W3CDTF">2023-09-26T03:07:00Z</dcterms:modified>
</cp:coreProperties>
</file>