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240" w:line="240" w:lineRule="auto"/>
        <w:jc w:val="center"/>
        <w:outlineLvl w:val="0"/>
        <w:rPr>
          <w:rFonts w:eastAsia="Times New Roman" w:cs="Times New Roman"/>
          <w:b/>
          <w:bCs/>
          <w:kern w:val="36"/>
          <w:sz w:val="32"/>
          <w:szCs w:val="32"/>
          <w:u w:val="single"/>
          <w:lang w:eastAsia="en-GB"/>
        </w:rPr>
      </w:pPr>
      <w:r>
        <w:rPr>
          <w:rFonts w:eastAsia="Times New Roman" w:cs="Times New Roman"/>
          <w:b/>
          <w:bCs/>
          <w:kern w:val="36"/>
          <w:sz w:val="32"/>
          <w:szCs w:val="32"/>
          <w:u w:val="single"/>
          <w:lang w:eastAsia="en-GB"/>
        </w:rPr>
        <w:t>Kế hoạch sử dụng đất cấp huyện là gì? Mỗi kỳ bao nhiêu năm?</w:t>
      </w:r>
    </w:p>
    <w:p>
      <w:pPr>
        <w:shd w:val="clear" w:color="auto" w:fill="FFFFFF"/>
        <w:spacing w:after="0" w:line="240" w:lineRule="auto"/>
        <w:jc w:val="both"/>
        <w:rPr>
          <w:rFonts w:eastAsia="Times New Roman" w:cs="Times New Roman"/>
          <w:b/>
          <w:bCs/>
          <w:color w:val="2E2E2E"/>
          <w:szCs w:val="28"/>
          <w:lang w:val="vi-VN" w:eastAsia="en-GB"/>
        </w:rPr>
      </w:pPr>
    </w:p>
    <w:p>
      <w:pPr>
        <w:shd w:val="clear" w:color="auto" w:fill="FFFFFF"/>
        <w:spacing w:after="0" w:line="240" w:lineRule="auto"/>
        <w:jc w:val="both"/>
        <w:rPr>
          <w:rFonts w:ascii="Arial" w:eastAsia="Times New Roman" w:hAnsi="Arial" w:cs="Arial"/>
          <w:color w:val="2E2E2E"/>
          <w:szCs w:val="28"/>
          <w:lang w:eastAsia="en-GB"/>
        </w:rPr>
      </w:pPr>
      <w:bookmarkStart w:id="0" w:name="_GoBack"/>
      <w:bookmarkEnd w:id="0"/>
      <w:r>
        <w:rPr>
          <w:rFonts w:eastAsia="Times New Roman" w:cs="Times New Roman"/>
          <w:b/>
          <w:bCs/>
          <w:color w:val="2E2E2E"/>
          <w:szCs w:val="28"/>
          <w:lang w:eastAsia="en-GB"/>
        </w:rPr>
        <w:t>1. Kế hoạch sử dụng đất cấp huyện là gì?</w:t>
      </w:r>
    </w:p>
    <w:p>
      <w:pPr>
        <w:shd w:val="clear" w:color="auto" w:fill="FFFFFF"/>
        <w:spacing w:before="180" w:after="180" w:line="240" w:lineRule="auto"/>
        <w:jc w:val="both"/>
        <w:rPr>
          <w:rFonts w:eastAsia="Times New Roman" w:cs="Times New Roman"/>
          <w:color w:val="222222"/>
          <w:szCs w:val="28"/>
          <w:lang w:eastAsia="en-GB"/>
        </w:rPr>
      </w:pPr>
      <w:r>
        <w:rPr>
          <w:rFonts w:eastAsia="Times New Roman" w:cs="Times New Roman"/>
          <w:color w:val="222222"/>
          <w:szCs w:val="28"/>
          <w:lang w:eastAsia="en-GB"/>
        </w:rPr>
        <w:t>Để hiểu tìm hiểu về kế hoạch sử dụng đất cấp huyện, trước tiên cần hiểu kế hoạch sử dụng đất là gì. Tại </w:t>
      </w:r>
      <w:hyperlink r:id="rId6" w:history="1">
        <w:r>
          <w:rPr>
            <w:rFonts w:eastAsia="Times New Roman" w:cs="Times New Roman"/>
            <w:color w:val="A67942"/>
            <w:szCs w:val="28"/>
            <w:u w:val="single"/>
            <w:lang w:eastAsia="en-GB"/>
          </w:rPr>
          <w:t>Điều 3 Luật Đất đai 2013</w:t>
        </w:r>
      </w:hyperlink>
      <w:r>
        <w:rPr>
          <w:rFonts w:eastAsia="Times New Roman" w:cs="Times New Roman"/>
          <w:color w:val="222222"/>
          <w:szCs w:val="28"/>
          <w:lang w:eastAsia="en-GB"/>
        </w:rPr>
        <w:t> nêu rõ về kế hoạch sử dụng đất như sau:</w:t>
      </w:r>
    </w:p>
    <w:p>
      <w:pPr>
        <w:shd w:val="clear" w:color="auto" w:fill="FFFFFF"/>
        <w:spacing w:before="180" w:after="180" w:line="240" w:lineRule="auto"/>
        <w:jc w:val="both"/>
        <w:rPr>
          <w:rFonts w:eastAsia="Times New Roman" w:cs="Times New Roman"/>
          <w:i/>
          <w:iCs/>
          <w:color w:val="222222"/>
          <w:szCs w:val="28"/>
          <w:lang w:eastAsia="en-GB"/>
        </w:rPr>
      </w:pPr>
      <w:r>
        <w:rPr>
          <w:rFonts w:eastAsia="Times New Roman" w:cs="Times New Roman"/>
          <w:i/>
          <w:iCs/>
          <w:color w:val="222222"/>
          <w:szCs w:val="28"/>
          <w:lang w:eastAsia="en-GB"/>
        </w:rPr>
        <w:t>3. Kế hoạch sử dụng đất là việc phân chia quy hoạch sử dụng đất theo thời gian để thực hiện trong kỳ quy hoạch sử dụng đất.</w:t>
      </w:r>
    </w:p>
    <w:p>
      <w:pPr>
        <w:shd w:val="clear" w:color="auto" w:fill="FFFFFF"/>
        <w:spacing w:before="180" w:after="180" w:line="240" w:lineRule="auto"/>
        <w:jc w:val="both"/>
        <w:rPr>
          <w:rFonts w:eastAsia="Times New Roman" w:cs="Times New Roman"/>
          <w:color w:val="222222"/>
          <w:szCs w:val="28"/>
          <w:lang w:eastAsia="en-GB"/>
        </w:rPr>
      </w:pPr>
      <w:r>
        <w:rPr>
          <w:rFonts w:eastAsia="Times New Roman" w:cs="Times New Roman"/>
          <w:color w:val="222222"/>
          <w:szCs w:val="28"/>
          <w:lang w:eastAsia="en-GB"/>
        </w:rPr>
        <w:t>Trong đó:</w:t>
      </w:r>
    </w:p>
    <w:p>
      <w:pPr>
        <w:shd w:val="clear" w:color="auto" w:fill="FFFFFF"/>
        <w:spacing w:before="180" w:after="180" w:line="240" w:lineRule="auto"/>
        <w:jc w:val="both"/>
        <w:rPr>
          <w:rFonts w:eastAsia="Times New Roman" w:cs="Times New Roman"/>
          <w:color w:val="222222"/>
          <w:szCs w:val="28"/>
          <w:lang w:eastAsia="en-GB"/>
        </w:rPr>
      </w:pPr>
      <w:r>
        <w:rPr>
          <w:rFonts w:eastAsia="Times New Roman" w:cs="Times New Roman"/>
          <w:color w:val="222222"/>
          <w:szCs w:val="28"/>
          <w:lang w:eastAsia="en-GB"/>
        </w:rPr>
        <w:t>- Quy hoạch sử dụng đất là việc phân bổ và khoanh vùng đất đai theo không gian sử dụng cho các mục tiêu phát triển kinh tế - xã hội, quốc phòng, an ninh, bảo vệ môi trường và thích ứng biến đổi khí hậu trên cơ sở tiềm năng đất đai và nhu cầu sử dụng đất của các ngành, lĩnh vực đối với từng vùng kinh tế - xã hội và đơn vị hành chính trong một khoảng thời gian xác định.</w:t>
      </w:r>
    </w:p>
    <w:p>
      <w:pPr>
        <w:shd w:val="clear" w:color="auto" w:fill="FFFFFF"/>
        <w:spacing w:before="180" w:after="180" w:line="240" w:lineRule="auto"/>
        <w:jc w:val="both"/>
        <w:rPr>
          <w:rFonts w:eastAsia="Times New Roman" w:cs="Times New Roman"/>
          <w:color w:val="222222"/>
          <w:szCs w:val="28"/>
          <w:lang w:eastAsia="en-GB"/>
        </w:rPr>
      </w:pPr>
      <w:r>
        <w:rPr>
          <w:rFonts w:eastAsia="Times New Roman" w:cs="Times New Roman"/>
          <w:color w:val="222222"/>
          <w:szCs w:val="28"/>
          <w:lang w:eastAsia="en-GB"/>
        </w:rPr>
        <w:t>- Kỳ quy hoạch đất được quy định là 10 năm.</w:t>
      </w:r>
    </w:p>
    <w:p>
      <w:pPr>
        <w:shd w:val="clear" w:color="auto" w:fill="FFFFFF"/>
        <w:spacing w:before="180" w:after="180" w:line="240" w:lineRule="auto"/>
        <w:jc w:val="both"/>
        <w:rPr>
          <w:rFonts w:eastAsia="Times New Roman" w:cs="Times New Roman"/>
          <w:color w:val="222222"/>
          <w:szCs w:val="28"/>
          <w:lang w:eastAsia="en-GB"/>
        </w:rPr>
      </w:pPr>
      <w:r>
        <w:rPr>
          <w:rFonts w:eastAsia="Times New Roman" w:cs="Times New Roman"/>
          <w:color w:val="222222"/>
          <w:szCs w:val="28"/>
          <w:lang w:eastAsia="en-GB"/>
        </w:rPr>
        <w:t>Từ quy định nêu trên, có thể hiểu kế hoạch sử dụng đất cấp huyện là việc Ủy ban nhân dân huyện đưa ra các mốc thời gian để thực hiện các mục tiêu trong quy hoạch sử dụng đất.</w:t>
      </w:r>
    </w:p>
    <w:p>
      <w:pPr>
        <w:shd w:val="clear" w:color="auto" w:fill="FFFFFF"/>
        <w:spacing w:before="180" w:after="180" w:line="240" w:lineRule="auto"/>
        <w:jc w:val="both"/>
        <w:outlineLvl w:val="1"/>
        <w:rPr>
          <w:rFonts w:eastAsia="Times New Roman" w:cs="Times New Roman"/>
          <w:b/>
          <w:bCs/>
          <w:color w:val="2E2E2E"/>
          <w:szCs w:val="28"/>
          <w:lang w:eastAsia="en-GB"/>
        </w:rPr>
      </w:pPr>
      <w:r>
        <w:rPr>
          <w:rFonts w:eastAsia="Times New Roman" w:cs="Times New Roman"/>
          <w:b/>
          <w:bCs/>
          <w:color w:val="2E2E2E"/>
          <w:szCs w:val="28"/>
          <w:lang w:eastAsia="en-GB"/>
        </w:rPr>
        <w:t>2. Kế hoạch sử dụng đất cấp huyện bao nhiêu năm?</w:t>
      </w:r>
    </w:p>
    <w:p>
      <w:pPr>
        <w:shd w:val="clear" w:color="auto" w:fill="FFFFFF"/>
        <w:spacing w:before="180" w:after="180" w:line="240" w:lineRule="auto"/>
        <w:jc w:val="both"/>
        <w:rPr>
          <w:rFonts w:eastAsia="Times New Roman" w:cs="Times New Roman"/>
          <w:color w:val="222222"/>
          <w:szCs w:val="28"/>
          <w:lang w:eastAsia="en-GB"/>
        </w:rPr>
      </w:pPr>
      <w:r>
        <w:rPr>
          <w:rFonts w:eastAsia="Times New Roman" w:cs="Times New Roman"/>
          <w:color w:val="222222"/>
          <w:szCs w:val="28"/>
          <w:lang w:eastAsia="en-GB"/>
        </w:rPr>
        <w:t>Nội dung này được nêu rõ tại Điều 37 Luật Đất đai 2013 như sau:</w:t>
      </w:r>
    </w:p>
    <w:p>
      <w:pPr>
        <w:shd w:val="clear" w:color="auto" w:fill="FFFFFF"/>
        <w:spacing w:before="180" w:after="180" w:line="240" w:lineRule="auto"/>
        <w:jc w:val="both"/>
        <w:rPr>
          <w:rFonts w:eastAsia="Times New Roman" w:cs="Times New Roman"/>
          <w:i/>
          <w:iCs/>
          <w:color w:val="222222"/>
          <w:szCs w:val="28"/>
          <w:lang w:eastAsia="en-GB"/>
        </w:rPr>
      </w:pPr>
      <w:r>
        <w:rPr>
          <w:rFonts w:eastAsia="Times New Roman" w:cs="Times New Roman"/>
          <w:i/>
          <w:iCs/>
          <w:color w:val="222222"/>
          <w:szCs w:val="28"/>
          <w:lang w:eastAsia="en-GB"/>
        </w:rPr>
        <w:t>Điều 37. Kỳ quy hoạch, kế hoạch sử dụng đất</w:t>
      </w:r>
    </w:p>
    <w:p>
      <w:pPr>
        <w:shd w:val="clear" w:color="auto" w:fill="FFFFFF"/>
        <w:spacing w:before="180" w:after="180" w:line="240" w:lineRule="auto"/>
        <w:jc w:val="both"/>
        <w:rPr>
          <w:rFonts w:eastAsia="Times New Roman" w:cs="Times New Roman"/>
          <w:i/>
          <w:iCs/>
          <w:color w:val="222222"/>
          <w:szCs w:val="28"/>
          <w:lang w:eastAsia="en-GB"/>
        </w:rPr>
      </w:pPr>
      <w:r>
        <w:rPr>
          <w:rFonts w:eastAsia="Times New Roman" w:cs="Times New Roman"/>
          <w:i/>
          <w:iCs/>
          <w:color w:val="222222"/>
          <w:szCs w:val="28"/>
          <w:lang w:eastAsia="en-GB"/>
        </w:rPr>
        <w:t>1. Kỳ quy hoạch sử dụng đất là 10 năm.</w:t>
      </w:r>
    </w:p>
    <w:p>
      <w:pPr>
        <w:shd w:val="clear" w:color="auto" w:fill="FFFFFF"/>
        <w:spacing w:before="180" w:after="180" w:line="240" w:lineRule="auto"/>
        <w:jc w:val="both"/>
        <w:rPr>
          <w:rFonts w:eastAsia="Times New Roman" w:cs="Times New Roman"/>
          <w:i/>
          <w:iCs/>
          <w:color w:val="222222"/>
          <w:szCs w:val="28"/>
          <w:lang w:eastAsia="en-GB"/>
        </w:rPr>
      </w:pPr>
      <w:r>
        <w:rPr>
          <w:rFonts w:eastAsia="Times New Roman" w:cs="Times New Roman"/>
          <w:i/>
          <w:iCs/>
          <w:color w:val="222222"/>
          <w:szCs w:val="28"/>
          <w:lang w:eastAsia="en-GB"/>
        </w:rPr>
        <w:t>2. Kỳ kế hoạch sử dụng đất cấp quốc gia, cấp tỉnh và kỳ kế hoạch sử dụng đất quốc phòng, đất an ninh là 05 năm. Kế hoạch sử dụng đất cấp huyện được lập hàng năm.</w:t>
      </w:r>
    </w:p>
    <w:p>
      <w:pPr>
        <w:shd w:val="clear" w:color="auto" w:fill="FFFFFF"/>
        <w:spacing w:before="180" w:after="180" w:line="240" w:lineRule="auto"/>
        <w:jc w:val="both"/>
        <w:rPr>
          <w:rFonts w:eastAsia="Times New Roman" w:cs="Times New Roman"/>
          <w:color w:val="222222"/>
          <w:szCs w:val="28"/>
          <w:lang w:eastAsia="en-GB"/>
        </w:rPr>
      </w:pPr>
      <w:r>
        <w:rPr>
          <w:rFonts w:eastAsia="Times New Roman" w:cs="Times New Roman"/>
          <w:color w:val="222222"/>
          <w:szCs w:val="28"/>
          <w:lang w:eastAsia="en-GB"/>
        </w:rPr>
        <w:t>Như vậy, theo quy định trên, kỳ quy hoạch sử dụng đất là 10 năm, trong đó:</w:t>
      </w:r>
    </w:p>
    <w:p>
      <w:pPr>
        <w:shd w:val="clear" w:color="auto" w:fill="FFFFFF"/>
        <w:spacing w:before="180" w:after="180" w:line="240" w:lineRule="auto"/>
        <w:jc w:val="both"/>
        <w:rPr>
          <w:rFonts w:eastAsia="Times New Roman" w:cs="Times New Roman"/>
          <w:color w:val="222222"/>
          <w:szCs w:val="28"/>
          <w:lang w:eastAsia="en-GB"/>
        </w:rPr>
      </w:pPr>
      <w:r>
        <w:rPr>
          <w:rFonts w:eastAsia="Times New Roman" w:cs="Times New Roman"/>
          <w:b/>
          <w:bCs/>
          <w:color w:val="222222"/>
          <w:szCs w:val="28"/>
          <w:lang w:eastAsia="en-GB"/>
        </w:rPr>
        <w:t>- Kế hoạch sử dụng đất cấp huyện: Được lập hàng năm.</w:t>
      </w:r>
    </w:p>
    <w:p>
      <w:pPr>
        <w:shd w:val="clear" w:color="auto" w:fill="FFFFFF"/>
        <w:spacing w:before="180" w:after="180" w:line="240" w:lineRule="auto"/>
        <w:jc w:val="both"/>
        <w:rPr>
          <w:rFonts w:eastAsia="Times New Roman" w:cs="Times New Roman"/>
          <w:color w:val="222222"/>
          <w:szCs w:val="28"/>
          <w:lang w:eastAsia="en-GB"/>
        </w:rPr>
      </w:pPr>
      <w:r>
        <w:rPr>
          <w:rFonts w:eastAsia="Times New Roman" w:cs="Times New Roman"/>
          <w:color w:val="222222"/>
          <w:szCs w:val="28"/>
          <w:lang w:eastAsia="en-GB"/>
        </w:rPr>
        <w:t>- Kế hoạch sử dụng đất cấp quốc gia, cấp tỉnh và kế hoạch sử dụng đất quốc phòng, đất an ninh: Lập theo kỳ kế hoạch, mỗi kỳ 05 năm.</w:t>
      </w:r>
    </w:p>
    <w:p>
      <w:pPr>
        <w:shd w:val="clear" w:color="auto" w:fill="FFFFFF"/>
        <w:spacing w:before="180" w:after="180" w:line="240" w:lineRule="auto"/>
        <w:jc w:val="both"/>
        <w:outlineLvl w:val="1"/>
        <w:rPr>
          <w:rFonts w:eastAsia="Times New Roman" w:cs="Times New Roman"/>
          <w:b/>
          <w:bCs/>
          <w:color w:val="2E2E2E"/>
          <w:szCs w:val="28"/>
          <w:lang w:eastAsia="en-GB"/>
        </w:rPr>
      </w:pPr>
      <w:r>
        <w:rPr>
          <w:rFonts w:eastAsia="Times New Roman" w:cs="Times New Roman"/>
          <w:b/>
          <w:bCs/>
          <w:color w:val="2E2E2E"/>
          <w:szCs w:val="28"/>
          <w:lang w:eastAsia="en-GB"/>
        </w:rPr>
        <w:t>3. Căn cứ lập và nội dung kế hoạch sử dụng đất cấp huyện thế nào?</w:t>
      </w:r>
    </w:p>
    <w:p>
      <w:pPr>
        <w:shd w:val="clear" w:color="auto" w:fill="FFFFFF"/>
        <w:spacing w:before="180" w:after="180" w:line="240" w:lineRule="auto"/>
        <w:jc w:val="both"/>
        <w:rPr>
          <w:rFonts w:eastAsia="Times New Roman" w:cs="Times New Roman"/>
          <w:color w:val="222222"/>
          <w:szCs w:val="28"/>
          <w:lang w:eastAsia="en-GB"/>
        </w:rPr>
      </w:pPr>
      <w:r>
        <w:rPr>
          <w:rFonts w:eastAsia="Times New Roman" w:cs="Times New Roman"/>
          <w:color w:val="222222"/>
          <w:szCs w:val="28"/>
          <w:lang w:eastAsia="en-GB"/>
        </w:rPr>
        <w:t>Nội dung về căn cứ lập kế hoạch sử dụng đất cấp huyện và chi tiết nội dung kế hoạch được quy định cụ thể tại khoản 3, khoản 4 Điều 40 Luật Đất đai 2013:</w:t>
      </w:r>
    </w:p>
    <w:p>
      <w:pPr>
        <w:shd w:val="clear" w:color="auto" w:fill="FFFFFF"/>
        <w:spacing w:before="180" w:after="180" w:line="240" w:lineRule="auto"/>
        <w:jc w:val="both"/>
        <w:rPr>
          <w:rFonts w:eastAsia="Times New Roman" w:cs="Times New Roman"/>
          <w:color w:val="222222"/>
          <w:szCs w:val="28"/>
          <w:lang w:eastAsia="en-GB"/>
        </w:rPr>
      </w:pPr>
      <w:r>
        <w:rPr>
          <w:rFonts w:eastAsia="Times New Roman" w:cs="Times New Roman"/>
          <w:color w:val="222222"/>
          <w:szCs w:val="28"/>
          <w:lang w:eastAsia="en-GB"/>
        </w:rPr>
        <w:lastRenderedPageBreak/>
        <w:t>- Về căn cứ lập kế hoạch sử dụng đất cấp huyện, gồm:</w:t>
      </w:r>
    </w:p>
    <w:p>
      <w:pPr>
        <w:numPr>
          <w:ilvl w:val="0"/>
          <w:numId w:val="2"/>
        </w:numPr>
        <w:shd w:val="clear" w:color="auto" w:fill="FFFFFF"/>
        <w:spacing w:after="0" w:line="240" w:lineRule="auto"/>
        <w:ind w:left="150"/>
        <w:jc w:val="both"/>
        <w:rPr>
          <w:rFonts w:eastAsia="Times New Roman" w:cs="Times New Roman"/>
          <w:color w:val="2E2E2E"/>
          <w:szCs w:val="28"/>
          <w:lang w:eastAsia="en-GB"/>
        </w:rPr>
      </w:pPr>
      <w:r>
        <w:rPr>
          <w:rFonts w:eastAsia="Times New Roman" w:cs="Times New Roman"/>
          <w:color w:val="2E2E2E"/>
          <w:szCs w:val="28"/>
          <w:lang w:eastAsia="en-GB"/>
        </w:rPr>
        <w:t>Kế hoạch sử dụng đất cấp tỉnh;</w:t>
      </w:r>
    </w:p>
    <w:p>
      <w:pPr>
        <w:numPr>
          <w:ilvl w:val="0"/>
          <w:numId w:val="2"/>
        </w:numPr>
        <w:shd w:val="clear" w:color="auto" w:fill="FFFFFF"/>
        <w:spacing w:after="0" w:line="240" w:lineRule="auto"/>
        <w:ind w:left="150"/>
        <w:jc w:val="both"/>
        <w:rPr>
          <w:rFonts w:eastAsia="Times New Roman" w:cs="Times New Roman"/>
          <w:color w:val="2E2E2E"/>
          <w:szCs w:val="28"/>
          <w:lang w:eastAsia="en-GB"/>
        </w:rPr>
      </w:pPr>
      <w:r>
        <w:rPr>
          <w:rFonts w:eastAsia="Times New Roman" w:cs="Times New Roman"/>
          <w:color w:val="2E2E2E"/>
          <w:szCs w:val="28"/>
          <w:lang w:eastAsia="en-GB"/>
        </w:rPr>
        <w:t>Quy hoạch sử dụng đất cấp huyện;</w:t>
      </w:r>
    </w:p>
    <w:p>
      <w:pPr>
        <w:numPr>
          <w:ilvl w:val="0"/>
          <w:numId w:val="2"/>
        </w:numPr>
        <w:shd w:val="clear" w:color="auto" w:fill="FFFFFF"/>
        <w:spacing w:after="0" w:line="240" w:lineRule="auto"/>
        <w:ind w:left="150"/>
        <w:jc w:val="both"/>
        <w:rPr>
          <w:rFonts w:eastAsia="Times New Roman" w:cs="Times New Roman"/>
          <w:color w:val="2E2E2E"/>
          <w:szCs w:val="28"/>
          <w:lang w:eastAsia="en-GB"/>
        </w:rPr>
      </w:pPr>
      <w:r>
        <w:rPr>
          <w:rFonts w:eastAsia="Times New Roman" w:cs="Times New Roman"/>
          <w:color w:val="2E2E2E"/>
          <w:szCs w:val="28"/>
          <w:lang w:eastAsia="en-GB"/>
        </w:rPr>
        <w:t>Nhu cầu sử dụng đất trong năm kế hoạch của các ngành, lĩnh vực, của các cấp;</w:t>
      </w:r>
    </w:p>
    <w:p>
      <w:pPr>
        <w:numPr>
          <w:ilvl w:val="0"/>
          <w:numId w:val="2"/>
        </w:numPr>
        <w:shd w:val="clear" w:color="auto" w:fill="FFFFFF"/>
        <w:spacing w:after="0" w:line="240" w:lineRule="auto"/>
        <w:ind w:left="150"/>
        <w:jc w:val="both"/>
        <w:rPr>
          <w:rFonts w:eastAsia="Times New Roman" w:cs="Times New Roman"/>
          <w:color w:val="2E2E2E"/>
          <w:szCs w:val="28"/>
          <w:lang w:eastAsia="en-GB"/>
        </w:rPr>
      </w:pPr>
      <w:r>
        <w:rPr>
          <w:rFonts w:eastAsia="Times New Roman" w:cs="Times New Roman"/>
          <w:color w:val="2E2E2E"/>
          <w:szCs w:val="28"/>
          <w:lang w:eastAsia="en-GB"/>
        </w:rPr>
        <w:t>Khả năng đầu tư, huy động nguồn lực để thực hiện kế hoạch sử dụng đất.</w:t>
      </w:r>
    </w:p>
    <w:p>
      <w:pPr>
        <w:shd w:val="clear" w:color="auto" w:fill="FFFFFF"/>
        <w:spacing w:before="180" w:after="180" w:line="240" w:lineRule="auto"/>
        <w:jc w:val="both"/>
        <w:rPr>
          <w:rFonts w:eastAsia="Times New Roman" w:cs="Times New Roman"/>
          <w:color w:val="222222"/>
          <w:szCs w:val="28"/>
          <w:lang w:eastAsia="en-GB"/>
        </w:rPr>
      </w:pPr>
      <w:r>
        <w:rPr>
          <w:rFonts w:eastAsia="Times New Roman" w:cs="Times New Roman"/>
          <w:color w:val="222222"/>
          <w:szCs w:val="28"/>
          <w:lang w:eastAsia="en-GB"/>
        </w:rPr>
        <w:t>- Nội dung chi tiết của kế hoạch sử dụng đất hàng năm cấp huyện bao gồm:</w:t>
      </w:r>
    </w:p>
    <w:p>
      <w:pPr>
        <w:numPr>
          <w:ilvl w:val="0"/>
          <w:numId w:val="3"/>
        </w:numPr>
        <w:shd w:val="clear" w:color="auto" w:fill="FFFFFF"/>
        <w:spacing w:after="0" w:line="240" w:lineRule="auto"/>
        <w:ind w:left="150"/>
        <w:jc w:val="both"/>
        <w:rPr>
          <w:rFonts w:eastAsia="Times New Roman" w:cs="Times New Roman"/>
          <w:color w:val="2E2E2E"/>
          <w:szCs w:val="28"/>
          <w:lang w:eastAsia="en-GB"/>
        </w:rPr>
      </w:pPr>
      <w:r>
        <w:rPr>
          <w:rFonts w:eastAsia="Times New Roman" w:cs="Times New Roman"/>
          <w:color w:val="2E2E2E"/>
          <w:szCs w:val="28"/>
          <w:lang w:eastAsia="en-GB"/>
        </w:rPr>
        <w:t>Phân tích, đánh giá kết quả thực hiện kế hoạch sử dụng đất năm trước;</w:t>
      </w:r>
    </w:p>
    <w:p>
      <w:pPr>
        <w:numPr>
          <w:ilvl w:val="0"/>
          <w:numId w:val="3"/>
        </w:numPr>
        <w:shd w:val="clear" w:color="auto" w:fill="FFFFFF"/>
        <w:spacing w:after="0" w:line="240" w:lineRule="auto"/>
        <w:ind w:left="150"/>
        <w:jc w:val="both"/>
        <w:rPr>
          <w:rFonts w:eastAsia="Times New Roman" w:cs="Times New Roman"/>
          <w:color w:val="2E2E2E"/>
          <w:szCs w:val="28"/>
          <w:lang w:eastAsia="en-GB"/>
        </w:rPr>
      </w:pPr>
      <w:r>
        <w:rPr>
          <w:rFonts w:eastAsia="Times New Roman" w:cs="Times New Roman"/>
          <w:color w:val="2E2E2E"/>
          <w:szCs w:val="28"/>
          <w:lang w:eastAsia="en-GB"/>
        </w:rPr>
        <w:t>Xác định diện tích các loại đất đã được phân bổ trong kế hoạch sử dụng đất cấp tỉnh và diện tích các loại đất theo nhu cầu sử dụng đất của cấp huyện, cấp xã trong năm kế hoạch;</w:t>
      </w:r>
    </w:p>
    <w:p>
      <w:pPr>
        <w:numPr>
          <w:ilvl w:val="0"/>
          <w:numId w:val="3"/>
        </w:numPr>
        <w:shd w:val="clear" w:color="auto" w:fill="FFFFFF"/>
        <w:spacing w:after="0" w:line="240" w:lineRule="auto"/>
        <w:ind w:left="150"/>
        <w:jc w:val="both"/>
        <w:rPr>
          <w:rFonts w:eastAsia="Times New Roman" w:cs="Times New Roman"/>
          <w:color w:val="2E2E2E"/>
          <w:szCs w:val="28"/>
          <w:lang w:eastAsia="en-GB"/>
        </w:rPr>
      </w:pPr>
      <w:r>
        <w:rPr>
          <w:rFonts w:eastAsia="Times New Roman" w:cs="Times New Roman"/>
          <w:color w:val="2E2E2E"/>
          <w:szCs w:val="28"/>
          <w:lang w:eastAsia="en-GB"/>
        </w:rPr>
        <w:t>Xác định vị trí, diện tích đất phải thu hồi để thực hiện công trình, dự án sử dụng đất vào mục đích quy định trong năm kế hoạch đến từng đơn vị hành chính cấp xã. Đối với dự án hạ tầng kỹ thuật, xây dựng, chỉnh trang đô thị, khu dân cư nông thôn thì phải đồng thời xác định vị trí, diện tích đất thu hồi trong vùng phụ cận để đấu giá quyền sử dụng đất thực hiện dự án nhà ở, thương mại...</w:t>
      </w:r>
    </w:p>
    <w:p>
      <w:pPr>
        <w:numPr>
          <w:ilvl w:val="0"/>
          <w:numId w:val="3"/>
        </w:numPr>
        <w:shd w:val="clear" w:color="auto" w:fill="FFFFFF"/>
        <w:spacing w:after="0" w:line="240" w:lineRule="auto"/>
        <w:ind w:left="150"/>
        <w:jc w:val="both"/>
        <w:rPr>
          <w:rFonts w:eastAsia="Times New Roman" w:cs="Times New Roman"/>
          <w:color w:val="2E2E2E"/>
          <w:szCs w:val="28"/>
          <w:lang w:eastAsia="en-GB"/>
        </w:rPr>
      </w:pPr>
      <w:r>
        <w:rPr>
          <w:rFonts w:eastAsia="Times New Roman" w:cs="Times New Roman"/>
          <w:color w:val="2E2E2E"/>
          <w:szCs w:val="28"/>
          <w:lang w:eastAsia="en-GB"/>
        </w:rPr>
        <w:t>Xác định diện tích các loại đất cần chuyển mục đích sử dụng đối với các loại đất phải xin phép theo quy định trong năm kế hoạch đến từng đơn vị hành chính cấp xã;</w:t>
      </w:r>
    </w:p>
    <w:p>
      <w:pPr>
        <w:numPr>
          <w:ilvl w:val="0"/>
          <w:numId w:val="3"/>
        </w:numPr>
        <w:shd w:val="clear" w:color="auto" w:fill="FFFFFF"/>
        <w:spacing w:after="0" w:line="240" w:lineRule="auto"/>
        <w:ind w:left="150"/>
        <w:jc w:val="both"/>
        <w:rPr>
          <w:rFonts w:eastAsia="Times New Roman" w:cs="Times New Roman"/>
          <w:color w:val="2E2E2E"/>
          <w:szCs w:val="28"/>
          <w:lang w:eastAsia="en-GB"/>
        </w:rPr>
      </w:pPr>
      <w:r>
        <w:rPr>
          <w:rFonts w:eastAsia="Times New Roman" w:cs="Times New Roman"/>
          <w:color w:val="2E2E2E"/>
          <w:szCs w:val="28"/>
          <w:lang w:eastAsia="en-GB"/>
        </w:rPr>
        <w:t>Lập bản đồ kế hoạch sử dụng đất hàng năm của cấp huyện;</w:t>
      </w:r>
    </w:p>
    <w:p>
      <w:pPr>
        <w:numPr>
          <w:ilvl w:val="0"/>
          <w:numId w:val="3"/>
        </w:numPr>
        <w:shd w:val="clear" w:color="auto" w:fill="FFFFFF"/>
        <w:spacing w:after="0" w:line="240" w:lineRule="auto"/>
        <w:ind w:left="150"/>
        <w:jc w:val="both"/>
        <w:rPr>
          <w:rFonts w:eastAsia="Times New Roman" w:cs="Times New Roman"/>
          <w:color w:val="2E2E2E"/>
          <w:szCs w:val="28"/>
          <w:lang w:eastAsia="en-GB"/>
        </w:rPr>
      </w:pPr>
      <w:r>
        <w:rPr>
          <w:rFonts w:eastAsia="Times New Roman" w:cs="Times New Roman"/>
          <w:color w:val="2E2E2E"/>
          <w:szCs w:val="28"/>
          <w:lang w:eastAsia="en-GB"/>
        </w:rPr>
        <w:t>Giải pháp thực hiện kế hoạch sử dụng đất.</w:t>
      </w:r>
    </w:p>
    <w:p>
      <w:pPr>
        <w:shd w:val="clear" w:color="auto" w:fill="FFFFFF"/>
        <w:spacing w:before="180" w:after="180" w:line="240" w:lineRule="auto"/>
        <w:jc w:val="both"/>
        <w:rPr>
          <w:rFonts w:eastAsia="Times New Roman" w:cs="Times New Roman"/>
          <w:color w:val="222222"/>
          <w:szCs w:val="28"/>
          <w:lang w:eastAsia="en-GB"/>
        </w:rPr>
      </w:pPr>
      <w:r>
        <w:rPr>
          <w:rFonts w:eastAsia="Times New Roman" w:cs="Times New Roman"/>
          <w:color w:val="222222"/>
          <w:szCs w:val="28"/>
          <w:lang w:eastAsia="en-GB"/>
        </w:rPr>
        <w:t>Lưu ý: Đối với quận đã có quy hoạch đô thị được phê duyệt thì không lập quy hoạch sử dụng đất nhưng phải lập kế hoạch sử dụng đất hàng năm.</w:t>
      </w:r>
    </w:p>
    <w:p>
      <w:pPr>
        <w:shd w:val="clear" w:color="auto" w:fill="FFFFFF"/>
        <w:spacing w:before="180" w:after="180" w:line="240" w:lineRule="auto"/>
        <w:jc w:val="both"/>
        <w:rPr>
          <w:rFonts w:eastAsia="Times New Roman" w:cs="Times New Roman"/>
          <w:color w:val="222222"/>
          <w:szCs w:val="28"/>
          <w:lang w:eastAsia="en-GB"/>
        </w:rPr>
      </w:pPr>
      <w:r>
        <w:rPr>
          <w:rFonts w:eastAsia="Times New Roman" w:cs="Times New Roman"/>
          <w:color w:val="222222"/>
          <w:szCs w:val="28"/>
          <w:lang w:eastAsia="en-GB"/>
        </w:rPr>
        <w:t>Trường hợp quy hoạch đô thị của quận không phù hợp với diện tích đã được phân bổ trong quy hoạch sử dụng đất cấp tỉnh thì phải điều chỉnh quy hoạch đô thị cho phù hợp với quy hoạch sử dụng đất cấp tỉnh.</w:t>
      </w:r>
    </w:p>
    <w:p>
      <w:pPr>
        <w:shd w:val="clear" w:color="auto" w:fill="FFFFFF"/>
        <w:spacing w:before="180" w:after="180" w:line="240" w:lineRule="auto"/>
        <w:jc w:val="both"/>
        <w:outlineLvl w:val="1"/>
        <w:rPr>
          <w:rFonts w:eastAsia="Times New Roman" w:cs="Times New Roman"/>
          <w:b/>
          <w:bCs/>
          <w:color w:val="2E2E2E"/>
          <w:szCs w:val="28"/>
          <w:lang w:eastAsia="en-GB"/>
        </w:rPr>
      </w:pPr>
      <w:r>
        <w:rPr>
          <w:rFonts w:eastAsia="Times New Roman" w:cs="Times New Roman"/>
          <w:b/>
          <w:bCs/>
          <w:color w:val="2E2E2E"/>
          <w:szCs w:val="28"/>
          <w:lang w:eastAsia="en-GB"/>
        </w:rPr>
        <w:t>4. Kế hoạch sử dụng đất cấp huyện được lập thế nào?</w:t>
      </w:r>
    </w:p>
    <w:p>
      <w:pPr>
        <w:shd w:val="clear" w:color="auto" w:fill="FFFFFF"/>
        <w:spacing w:before="180" w:after="180" w:line="240" w:lineRule="auto"/>
        <w:jc w:val="both"/>
        <w:rPr>
          <w:rFonts w:eastAsia="Times New Roman" w:cs="Times New Roman"/>
          <w:color w:val="222222"/>
          <w:szCs w:val="28"/>
          <w:lang w:eastAsia="en-GB"/>
        </w:rPr>
      </w:pPr>
      <w:r>
        <w:rPr>
          <w:rFonts w:eastAsia="Times New Roman" w:cs="Times New Roman"/>
          <w:color w:val="222222"/>
          <w:szCs w:val="28"/>
          <w:lang w:eastAsia="en-GB"/>
        </w:rPr>
        <w:t>Việc lập kế hoạch sử dụng đất cấp huyện được hướng dẫn tại </w:t>
      </w:r>
      <w:hyperlink r:id="rId7" w:history="1">
        <w:r>
          <w:rPr>
            <w:rFonts w:eastAsia="Times New Roman" w:cs="Times New Roman"/>
            <w:color w:val="A67942"/>
            <w:szCs w:val="28"/>
            <w:u w:val="single"/>
            <w:lang w:eastAsia="en-GB"/>
          </w:rPr>
          <w:t>Nghị định 43/2014/NĐ-CP</w:t>
        </w:r>
      </w:hyperlink>
      <w:r>
        <w:rPr>
          <w:rFonts w:eastAsia="Times New Roman" w:cs="Times New Roman"/>
          <w:color w:val="222222"/>
          <w:szCs w:val="28"/>
          <w:lang w:eastAsia="en-GB"/>
        </w:rPr>
        <w:t> (sửa đổi, bổ sung bởi </w:t>
      </w:r>
      <w:hyperlink r:id="rId8" w:history="1">
        <w:r>
          <w:rPr>
            <w:rFonts w:eastAsia="Times New Roman" w:cs="Times New Roman"/>
            <w:color w:val="A67942"/>
            <w:szCs w:val="28"/>
            <w:u w:val="single"/>
            <w:lang w:eastAsia="en-GB"/>
          </w:rPr>
          <w:t>Nghị định 148/2020/NĐ-CP</w:t>
        </w:r>
      </w:hyperlink>
      <w:r>
        <w:rPr>
          <w:rFonts w:eastAsia="Times New Roman" w:cs="Times New Roman"/>
          <w:color w:val="222222"/>
          <w:szCs w:val="28"/>
          <w:lang w:eastAsia="en-GB"/>
        </w:rPr>
        <w:t>). Cụ thể như sau:</w:t>
      </w:r>
    </w:p>
    <w:p>
      <w:pPr>
        <w:shd w:val="clear" w:color="auto" w:fill="FFFFFF"/>
        <w:spacing w:before="180" w:after="180" w:line="240" w:lineRule="auto"/>
        <w:jc w:val="both"/>
        <w:rPr>
          <w:rFonts w:eastAsia="Times New Roman" w:cs="Times New Roman"/>
          <w:color w:val="222222"/>
          <w:szCs w:val="28"/>
          <w:lang w:eastAsia="en-GB"/>
        </w:rPr>
      </w:pPr>
      <w:r>
        <w:rPr>
          <w:rFonts w:eastAsia="Times New Roman" w:cs="Times New Roman"/>
          <w:color w:val="222222"/>
          <w:szCs w:val="28"/>
          <w:lang w:eastAsia="en-GB"/>
        </w:rPr>
        <w:t>- Các phòng, ban cấp huyện có trách nhiệm xác định nhu cầu sử dụng đất và đề xuất các dự án sử dụng đất thuộc danh mục chỉ tiêu sử dụng đất cấp huyện theo từng đơn vị hành chính cấp xã; Ủy ban nhân dân xã, phường, thị trấn xác định nhu cầu sử dụng đất của địa phương.</w:t>
      </w:r>
    </w:p>
    <w:p>
      <w:pPr>
        <w:shd w:val="clear" w:color="auto" w:fill="FFFFFF"/>
        <w:spacing w:before="180" w:after="180" w:line="240" w:lineRule="auto"/>
        <w:jc w:val="both"/>
        <w:rPr>
          <w:rFonts w:eastAsia="Times New Roman" w:cs="Times New Roman"/>
          <w:color w:val="222222"/>
          <w:szCs w:val="28"/>
          <w:lang w:eastAsia="en-GB"/>
        </w:rPr>
      </w:pPr>
      <w:r>
        <w:rPr>
          <w:rFonts w:eastAsia="Times New Roman" w:cs="Times New Roman"/>
          <w:color w:val="222222"/>
          <w:szCs w:val="28"/>
          <w:lang w:eastAsia="en-GB"/>
        </w:rPr>
        <w:t>- Trong thời hạn 30 ngày kể từ ngày nhận được văn bản của Phòng Tài nguyên và Môi trường đề nghị đăng ký nhu cầu sử dụng đất, các phòng, ban cấp huyện và Ủy ban nhân dân cấp xã gửi nhu cầu sử dụng đất về Phòng Tài nguyên và Môi trường.</w:t>
      </w:r>
    </w:p>
    <w:p>
      <w:pPr>
        <w:shd w:val="clear" w:color="auto" w:fill="FFFFFF"/>
        <w:spacing w:before="180" w:after="180" w:line="240" w:lineRule="auto"/>
        <w:jc w:val="both"/>
        <w:rPr>
          <w:rFonts w:eastAsia="Times New Roman" w:cs="Times New Roman"/>
          <w:color w:val="222222"/>
          <w:szCs w:val="28"/>
          <w:lang w:eastAsia="en-GB"/>
        </w:rPr>
      </w:pPr>
      <w:r>
        <w:rPr>
          <w:rFonts w:eastAsia="Times New Roman" w:cs="Times New Roman"/>
          <w:color w:val="222222"/>
          <w:szCs w:val="28"/>
          <w:lang w:eastAsia="en-GB"/>
        </w:rPr>
        <w:lastRenderedPageBreak/>
        <w:t>- Phòng Tài nguyên và Môi trường xác định các chỉ tiêu sử dụng đất cấp tỉnh và các dự án trong kế hoạch sử dụng đất cấp tỉnh đã phân bổ cho cấp huyện đến từng đơn vị hành chính cấp xã.</w:t>
      </w:r>
    </w:p>
    <w:p>
      <w:pPr>
        <w:shd w:val="clear" w:color="auto" w:fill="FFFFFF"/>
        <w:spacing w:before="180" w:after="180" w:line="240" w:lineRule="auto"/>
        <w:jc w:val="both"/>
        <w:rPr>
          <w:rFonts w:eastAsia="Times New Roman" w:cs="Times New Roman"/>
          <w:color w:val="222222"/>
          <w:szCs w:val="28"/>
          <w:lang w:eastAsia="en-GB"/>
        </w:rPr>
      </w:pPr>
      <w:r>
        <w:rPr>
          <w:rFonts w:eastAsia="Times New Roman" w:cs="Times New Roman"/>
          <w:color w:val="222222"/>
          <w:szCs w:val="28"/>
          <w:lang w:eastAsia="en-GB"/>
        </w:rPr>
        <w:t>Sau đó, tổng hợp, cân đối nhu cầu sử dụng đất và dự kiến phân bổ các chỉ tiêu sử dụng đất cấp huyện đến từng đơn vị hành chính cấp xã.</w:t>
      </w:r>
    </w:p>
    <w:p>
      <w:pPr>
        <w:shd w:val="clear" w:color="auto" w:fill="FFFFFF"/>
        <w:spacing w:before="180" w:after="180" w:line="240" w:lineRule="auto"/>
        <w:jc w:val="both"/>
        <w:rPr>
          <w:rFonts w:eastAsia="Times New Roman" w:cs="Times New Roman"/>
          <w:color w:val="222222"/>
          <w:szCs w:val="28"/>
          <w:lang w:eastAsia="en-GB"/>
        </w:rPr>
      </w:pPr>
      <w:r>
        <w:rPr>
          <w:rFonts w:eastAsia="Times New Roman" w:cs="Times New Roman"/>
          <w:color w:val="222222"/>
          <w:szCs w:val="28"/>
          <w:lang w:eastAsia="en-GB"/>
        </w:rPr>
        <w:t>Trong đó lưu ý:</w:t>
      </w:r>
    </w:p>
    <w:p>
      <w:pPr>
        <w:shd w:val="clear" w:color="auto" w:fill="FFFFFF"/>
        <w:spacing w:before="180" w:after="180" w:line="240" w:lineRule="auto"/>
        <w:jc w:val="both"/>
        <w:rPr>
          <w:rFonts w:eastAsia="Times New Roman" w:cs="Times New Roman"/>
          <w:color w:val="222222"/>
          <w:szCs w:val="28"/>
          <w:lang w:eastAsia="en-GB"/>
        </w:rPr>
      </w:pPr>
      <w:r>
        <w:rPr>
          <w:rFonts w:eastAsia="Times New Roman" w:cs="Times New Roman"/>
          <w:color w:val="222222"/>
          <w:szCs w:val="28"/>
          <w:lang w:eastAsia="en-GB"/>
        </w:rPr>
        <w:t>- Chỉ tiêu sử dụng đất trong quy hoạch sử dụng đất cấp huyện gồm: Chỉ tiêu sử dụng đất theo loại đất và theo khu chức năng.</w:t>
      </w:r>
    </w:p>
    <w:p>
      <w:pPr>
        <w:shd w:val="clear" w:color="auto" w:fill="FFFFFF"/>
        <w:spacing w:before="180" w:after="180" w:line="240" w:lineRule="auto"/>
        <w:jc w:val="both"/>
        <w:rPr>
          <w:rFonts w:eastAsia="Times New Roman" w:cs="Times New Roman"/>
          <w:color w:val="222222"/>
          <w:szCs w:val="28"/>
          <w:lang w:eastAsia="en-GB"/>
        </w:rPr>
      </w:pPr>
      <w:r>
        <w:rPr>
          <w:rFonts w:eastAsia="Times New Roman" w:cs="Times New Roman"/>
          <w:color w:val="222222"/>
          <w:szCs w:val="28"/>
          <w:lang w:eastAsia="en-GB"/>
        </w:rPr>
        <w:t>- Trường hợp cần thiết mà phải điều chỉnh về quy mô, địa điểm và số lượng dự án, công trình hoặc nhu cầu sử dụng đất nhưng không làm thay đổi chỉ tiêu sử dụng đất trong quy hoạch sử dụng đất cấp huyện thì Phòng Tài nguyên và Môi trường tổng hợp nhu cầu sử dụng đất của tổ chức, hộ gia đình, cá nhân trình Ủy ban nhân dân cấp huyện báo cáo Sở Tài nguyên và Môi trường.</w:t>
      </w:r>
    </w:p>
    <w:p>
      <w:pPr>
        <w:shd w:val="clear" w:color="auto" w:fill="FFFFFF"/>
        <w:spacing w:before="180" w:after="180" w:line="240" w:lineRule="auto"/>
        <w:jc w:val="both"/>
        <w:rPr>
          <w:rFonts w:eastAsia="Times New Roman" w:cs="Times New Roman"/>
          <w:color w:val="222222"/>
          <w:szCs w:val="28"/>
          <w:lang w:eastAsia="en-GB"/>
        </w:rPr>
      </w:pPr>
      <w:r>
        <w:rPr>
          <w:rFonts w:eastAsia="Times New Roman" w:cs="Times New Roman"/>
          <w:color w:val="222222"/>
          <w:szCs w:val="28"/>
          <w:lang w:eastAsia="en-GB"/>
        </w:rPr>
        <w:t>Sở Tài nguyên và Môi trường trình Ủy ban nhân dân cấp tỉnh xem xét, quyết định và cập nhật vào kế hoạch sử dụng đất hàng năm cấp huyện.</w:t>
      </w:r>
    </w:p>
    <w:p>
      <w:pPr>
        <w:shd w:val="clear" w:color="auto" w:fill="FFFFFF"/>
        <w:spacing w:before="180" w:line="240" w:lineRule="auto"/>
        <w:jc w:val="both"/>
        <w:rPr>
          <w:rFonts w:eastAsia="Times New Roman" w:cs="Times New Roman"/>
          <w:color w:val="222222"/>
          <w:szCs w:val="28"/>
          <w:lang w:eastAsia="en-GB"/>
        </w:rPr>
      </w:pPr>
      <w:r>
        <w:rPr>
          <w:rFonts w:eastAsia="Times New Roman" w:cs="Times New Roman"/>
          <w:color w:val="222222"/>
          <w:szCs w:val="28"/>
          <w:lang w:eastAsia="en-GB"/>
        </w:rPr>
        <w:t>- Trường hợp có bổ sung dự án, công trình mà phải thu hồi đất thì phải được Hội đồng nhân dân tỉnh, thành phố trực thuộc Trung ương thông qua trước khi Ủy ban nhân dân cấp tỉnh xem xét, quyết định và cập nhật vào kế hoạch sử dụng đất hàng năm cấp huyện.</w:t>
      </w:r>
    </w:p>
    <w:p>
      <w:pPr>
        <w:jc w:val="both"/>
        <w:rPr>
          <w:szCs w:val="28"/>
        </w:rPr>
      </w:pP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B1637"/>
    <w:multiLevelType w:val="multilevel"/>
    <w:tmpl w:val="DE46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696766"/>
    <w:multiLevelType w:val="multilevel"/>
    <w:tmpl w:val="EEE6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2504A1"/>
    <w:multiLevelType w:val="multilevel"/>
    <w:tmpl w:val="8BE8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cs="Times New Roman"/>
      <w:b/>
      <w:bCs/>
      <w:kern w:val="36"/>
      <w:sz w:val="48"/>
      <w:szCs w:val="48"/>
      <w:lang w:eastAsia="en-GB"/>
    </w:rPr>
  </w:style>
  <w:style w:type="paragraph" w:styleId="Heading2">
    <w:name w:val="heading 2"/>
    <w:basedOn w:val="Normal"/>
    <w:link w:val="Heading2Char"/>
    <w:uiPriority w:val="9"/>
    <w:qFormat/>
    <w:pPr>
      <w:spacing w:before="100" w:beforeAutospacing="1" w:after="100" w:afterAutospacing="1" w:line="240" w:lineRule="auto"/>
      <w:outlineLvl w:val="1"/>
    </w:pPr>
    <w:rPr>
      <w:rFonts w:eastAsia="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imes New Roman" w:cs="Times New Roman"/>
      <w:b/>
      <w:bCs/>
      <w:kern w:val="36"/>
      <w:sz w:val="48"/>
      <w:szCs w:val="48"/>
      <w:lang w:eastAsia="en-GB"/>
    </w:rPr>
  </w:style>
  <w:style w:type="character" w:customStyle="1" w:styleId="Heading2Char">
    <w:name w:val="Heading 2 Char"/>
    <w:basedOn w:val="DefaultParagraphFont"/>
    <w:link w:val="Heading2"/>
    <w:uiPriority w:val="9"/>
    <w:rPr>
      <w:rFonts w:eastAsia="Times New Roman" w:cs="Times New Roman"/>
      <w:b/>
      <w:bCs/>
      <w:sz w:val="36"/>
      <w:szCs w:val="36"/>
      <w:lang w:eastAsia="en-GB"/>
    </w:rPr>
  </w:style>
  <w:style w:type="character" w:styleId="Hyperlink">
    <w:name w:val="Hyperlink"/>
    <w:basedOn w:val="DefaultParagraphFont"/>
    <w:uiPriority w:val="99"/>
    <w:semiHidden/>
    <w:unhideWhenUsed/>
    <w:rPr>
      <w:color w:val="0000FF"/>
      <w:u w:val="single"/>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lang w:eastAsia="en-GB"/>
    </w:rPr>
  </w:style>
  <w:style w:type="character" w:customStyle="1" w:styleId="toc-title">
    <w:name w:val="toc-title"/>
    <w:basedOn w:val="DefaultParagraphFont"/>
  </w:style>
  <w:style w:type="character" w:customStyle="1" w:styleId="toc-show">
    <w:name w:val="toc-show"/>
    <w:basedOn w:val="DefaultParagraphFont"/>
  </w:style>
  <w:style w:type="character" w:customStyle="1" w:styleId="toctext">
    <w:name w:val="toctext"/>
    <w:basedOn w:val="DefaultParagraphFont"/>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cs="Times New Roman"/>
      <w:b/>
      <w:bCs/>
      <w:kern w:val="36"/>
      <w:sz w:val="48"/>
      <w:szCs w:val="48"/>
      <w:lang w:eastAsia="en-GB"/>
    </w:rPr>
  </w:style>
  <w:style w:type="paragraph" w:styleId="Heading2">
    <w:name w:val="heading 2"/>
    <w:basedOn w:val="Normal"/>
    <w:link w:val="Heading2Char"/>
    <w:uiPriority w:val="9"/>
    <w:qFormat/>
    <w:pPr>
      <w:spacing w:before="100" w:beforeAutospacing="1" w:after="100" w:afterAutospacing="1" w:line="240" w:lineRule="auto"/>
      <w:outlineLvl w:val="1"/>
    </w:pPr>
    <w:rPr>
      <w:rFonts w:eastAsia="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eastAsia="Times New Roman" w:cs="Times New Roman"/>
      <w:b/>
      <w:bCs/>
      <w:kern w:val="36"/>
      <w:sz w:val="48"/>
      <w:szCs w:val="48"/>
      <w:lang w:eastAsia="en-GB"/>
    </w:rPr>
  </w:style>
  <w:style w:type="character" w:customStyle="1" w:styleId="Heading2Char">
    <w:name w:val="Heading 2 Char"/>
    <w:basedOn w:val="DefaultParagraphFont"/>
    <w:link w:val="Heading2"/>
    <w:uiPriority w:val="9"/>
    <w:rPr>
      <w:rFonts w:eastAsia="Times New Roman" w:cs="Times New Roman"/>
      <w:b/>
      <w:bCs/>
      <w:sz w:val="36"/>
      <w:szCs w:val="36"/>
      <w:lang w:eastAsia="en-GB"/>
    </w:rPr>
  </w:style>
  <w:style w:type="character" w:styleId="Hyperlink">
    <w:name w:val="Hyperlink"/>
    <w:basedOn w:val="DefaultParagraphFont"/>
    <w:uiPriority w:val="99"/>
    <w:semiHidden/>
    <w:unhideWhenUsed/>
    <w:rPr>
      <w:color w:val="0000FF"/>
      <w:u w:val="single"/>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cs="Times New Roman"/>
      <w:sz w:val="24"/>
      <w:szCs w:val="24"/>
      <w:lang w:eastAsia="en-GB"/>
    </w:rPr>
  </w:style>
  <w:style w:type="character" w:customStyle="1" w:styleId="toc-title">
    <w:name w:val="toc-title"/>
    <w:basedOn w:val="DefaultParagraphFont"/>
  </w:style>
  <w:style w:type="character" w:customStyle="1" w:styleId="toc-show">
    <w:name w:val="toc-show"/>
    <w:basedOn w:val="DefaultParagraphFont"/>
  </w:style>
  <w:style w:type="character" w:customStyle="1" w:styleId="toctext">
    <w:name w:val="toctext"/>
    <w:basedOn w:val="DefaultParagraphFont"/>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7095816">
      <w:bodyDiv w:val="1"/>
      <w:marLeft w:val="0"/>
      <w:marRight w:val="0"/>
      <w:marTop w:val="0"/>
      <w:marBottom w:val="0"/>
      <w:divBdr>
        <w:top w:val="none" w:sz="0" w:space="0" w:color="auto"/>
        <w:left w:val="none" w:sz="0" w:space="0" w:color="auto"/>
        <w:bottom w:val="none" w:sz="0" w:space="0" w:color="auto"/>
        <w:right w:val="none" w:sz="0" w:space="0" w:color="auto"/>
      </w:divBdr>
      <w:divsChild>
        <w:div w:id="1782803376">
          <w:marLeft w:val="0"/>
          <w:marRight w:val="0"/>
          <w:marTop w:val="0"/>
          <w:marBottom w:val="0"/>
          <w:divBdr>
            <w:top w:val="none" w:sz="0" w:space="0" w:color="auto"/>
            <w:left w:val="none" w:sz="0" w:space="0" w:color="auto"/>
            <w:bottom w:val="none" w:sz="0" w:space="0" w:color="auto"/>
            <w:right w:val="none" w:sz="0" w:space="0" w:color="auto"/>
          </w:divBdr>
          <w:divsChild>
            <w:div w:id="1557351362">
              <w:marLeft w:val="0"/>
              <w:marRight w:val="240"/>
              <w:marTop w:val="0"/>
              <w:marBottom w:val="0"/>
              <w:divBdr>
                <w:top w:val="none" w:sz="0" w:space="0" w:color="auto"/>
                <w:left w:val="none" w:sz="0" w:space="0" w:color="auto"/>
                <w:bottom w:val="none" w:sz="0" w:space="0" w:color="auto"/>
                <w:right w:val="none" w:sz="0" w:space="0" w:color="auto"/>
              </w:divBdr>
              <w:divsChild>
                <w:div w:id="1572883393">
                  <w:marLeft w:val="0"/>
                  <w:marRight w:val="0"/>
                  <w:marTop w:val="0"/>
                  <w:marBottom w:val="0"/>
                  <w:divBdr>
                    <w:top w:val="none" w:sz="0" w:space="0" w:color="auto"/>
                    <w:left w:val="none" w:sz="0" w:space="0" w:color="auto"/>
                    <w:bottom w:val="none" w:sz="0" w:space="0" w:color="auto"/>
                    <w:right w:val="none" w:sz="0" w:space="0" w:color="auto"/>
                  </w:divBdr>
                  <w:divsChild>
                    <w:div w:id="219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069368">
              <w:marLeft w:val="0"/>
              <w:marRight w:val="0"/>
              <w:marTop w:val="0"/>
              <w:marBottom w:val="0"/>
              <w:divBdr>
                <w:top w:val="none" w:sz="0" w:space="0" w:color="auto"/>
                <w:left w:val="none" w:sz="0" w:space="0" w:color="auto"/>
                <w:bottom w:val="none" w:sz="0" w:space="0" w:color="auto"/>
                <w:right w:val="none" w:sz="0" w:space="0" w:color="auto"/>
              </w:divBdr>
              <w:divsChild>
                <w:div w:id="156650439">
                  <w:marLeft w:val="0"/>
                  <w:marRight w:val="0"/>
                  <w:marTop w:val="0"/>
                  <w:marBottom w:val="0"/>
                  <w:divBdr>
                    <w:top w:val="none" w:sz="0" w:space="0" w:color="auto"/>
                    <w:left w:val="none" w:sz="0" w:space="0" w:color="auto"/>
                    <w:bottom w:val="none" w:sz="0" w:space="0" w:color="auto"/>
                    <w:right w:val="none" w:sz="0" w:space="0" w:color="auto"/>
                  </w:divBdr>
                  <w:divsChild>
                    <w:div w:id="167722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705115">
          <w:marLeft w:val="0"/>
          <w:marRight w:val="0"/>
          <w:marTop w:val="0"/>
          <w:marBottom w:val="240"/>
          <w:divBdr>
            <w:top w:val="none" w:sz="0" w:space="0" w:color="auto"/>
            <w:left w:val="none" w:sz="0" w:space="0" w:color="auto"/>
            <w:bottom w:val="none" w:sz="0" w:space="0" w:color="auto"/>
            <w:right w:val="none" w:sz="0" w:space="0" w:color="auto"/>
          </w:divBdr>
          <w:divsChild>
            <w:div w:id="1549999701">
              <w:marLeft w:val="0"/>
              <w:marRight w:val="0"/>
              <w:marTop w:val="0"/>
              <w:marBottom w:val="0"/>
              <w:divBdr>
                <w:top w:val="none" w:sz="0" w:space="0" w:color="auto"/>
                <w:left w:val="none" w:sz="0" w:space="0" w:color="auto"/>
                <w:bottom w:val="none" w:sz="0" w:space="0" w:color="auto"/>
                <w:right w:val="none" w:sz="0" w:space="0" w:color="auto"/>
              </w:divBdr>
            </w:div>
            <w:div w:id="1757020784">
              <w:marLeft w:val="0"/>
              <w:marRight w:val="0"/>
              <w:marTop w:val="240"/>
              <w:marBottom w:val="240"/>
              <w:divBdr>
                <w:top w:val="single" w:sz="6" w:space="9" w:color="E0E0E0"/>
                <w:left w:val="single" w:sz="6" w:space="12" w:color="E0E0E0"/>
                <w:bottom w:val="single" w:sz="6" w:space="9" w:color="E0E0E0"/>
                <w:right w:val="single" w:sz="6" w:space="12" w:color="E0E0E0"/>
              </w:divBdr>
              <w:divsChild>
                <w:div w:id="514685112">
                  <w:marLeft w:val="0"/>
                  <w:marRight w:val="0"/>
                  <w:marTop w:val="0"/>
                  <w:marBottom w:val="0"/>
                  <w:divBdr>
                    <w:top w:val="none" w:sz="0" w:space="0" w:color="auto"/>
                    <w:left w:val="none" w:sz="0" w:space="0" w:color="auto"/>
                    <w:bottom w:val="none" w:sz="0" w:space="0" w:color="auto"/>
                    <w:right w:val="none" w:sz="0" w:space="0" w:color="auto"/>
                  </w:divBdr>
                </w:div>
              </w:divsChild>
            </w:div>
            <w:div w:id="1532722403">
              <w:marLeft w:val="0"/>
              <w:marRight w:val="0"/>
              <w:marTop w:val="0"/>
              <w:marBottom w:val="0"/>
              <w:divBdr>
                <w:top w:val="none" w:sz="0" w:space="0" w:color="auto"/>
                <w:left w:val="none" w:sz="0" w:space="0" w:color="auto"/>
                <w:bottom w:val="none" w:sz="0" w:space="0" w:color="auto"/>
                <w:right w:val="none" w:sz="0" w:space="0" w:color="auto"/>
              </w:divBdr>
              <w:divsChild>
                <w:div w:id="364911162">
                  <w:blockQuote w:val="1"/>
                  <w:marLeft w:val="420"/>
                  <w:marRight w:val="0"/>
                  <w:marTop w:val="0"/>
                  <w:marBottom w:val="0"/>
                  <w:divBdr>
                    <w:top w:val="none" w:sz="0" w:space="0" w:color="auto"/>
                    <w:left w:val="single" w:sz="18" w:space="12" w:color="CCCCCC"/>
                    <w:bottom w:val="none" w:sz="0" w:space="0" w:color="auto"/>
                    <w:right w:val="none" w:sz="0" w:space="0" w:color="auto"/>
                  </w:divBdr>
                </w:div>
                <w:div w:id="1073967950">
                  <w:blockQuote w:val="1"/>
                  <w:marLeft w:val="420"/>
                  <w:marRight w:val="0"/>
                  <w:marTop w:val="0"/>
                  <w:marBottom w:val="0"/>
                  <w:divBdr>
                    <w:top w:val="none" w:sz="0" w:space="0" w:color="auto"/>
                    <w:left w:val="single" w:sz="18" w:space="12" w:color="CCCCCC"/>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dat-dai/nghi-dinh-148-2020-nd-cp-sua-mot-so-nghi-dinh-huong-dan-luat-dat-dai-195820-d1.html" TargetMode="External"/><Relationship Id="rId3" Type="http://schemas.microsoft.com/office/2007/relationships/stylesWithEffects" Target="stylesWithEffects.xml"/><Relationship Id="rId7" Type="http://schemas.openxmlformats.org/officeDocument/2006/relationships/hyperlink" Target="https://luatvietnam.vn/dat-dai/nghi-dinh-43-2014-nd-cp-huong-dan-luat-dat-dai-86925-d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dat-dai/luat-dat-dai-2013-83386-d1.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843</Words>
  <Characters>4808</Characters>
  <Application>Microsoft Office Word</Application>
  <DocSecurity>0</DocSecurity>
  <Lines>40</Lines>
  <Paragraphs>11</Paragraphs>
  <ScaleCrop>false</ScaleCrop>
  <Company/>
  <LinksUpToDate>false</LinksUpToDate>
  <CharactersWithSpaces>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Loan</dc:creator>
  <cp:lastModifiedBy>Mrs Loan</cp:lastModifiedBy>
  <cp:revision>2</cp:revision>
  <dcterms:created xsi:type="dcterms:W3CDTF">2023-09-25T10:07:00Z</dcterms:created>
  <dcterms:modified xsi:type="dcterms:W3CDTF">2023-09-25T10:12:00Z</dcterms:modified>
</cp:coreProperties>
</file>