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D1C6F" w14:textId="77777777" w:rsidR="00AE33B0" w:rsidRPr="00AE33B0" w:rsidRDefault="00AE33B0" w:rsidP="00AE33B0">
      <w:pPr>
        <w:spacing w:after="240" w:line="240" w:lineRule="auto"/>
        <w:outlineLvl w:val="0"/>
        <w:rPr>
          <w:rFonts w:eastAsia="Times New Roman" w:cs="Times New Roman"/>
          <w:b/>
          <w:bCs/>
          <w:kern w:val="36"/>
          <w:sz w:val="42"/>
          <w:szCs w:val="42"/>
        </w:rPr>
      </w:pPr>
      <w:proofErr w:type="spellStart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>Thủ</w:t>
      </w:r>
      <w:proofErr w:type="spellEnd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>tục</w:t>
      </w:r>
      <w:proofErr w:type="spellEnd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>ủy</w:t>
      </w:r>
      <w:proofErr w:type="spellEnd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>quyền</w:t>
      </w:r>
      <w:proofErr w:type="spellEnd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>thừa</w:t>
      </w:r>
      <w:proofErr w:type="spellEnd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>kế</w:t>
      </w:r>
      <w:proofErr w:type="spellEnd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>thực</w:t>
      </w:r>
      <w:proofErr w:type="spellEnd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>hiện</w:t>
      </w:r>
      <w:proofErr w:type="spellEnd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>như</w:t>
      </w:r>
      <w:proofErr w:type="spellEnd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>thế</w:t>
      </w:r>
      <w:proofErr w:type="spellEnd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>nào</w:t>
      </w:r>
      <w:proofErr w:type="spellEnd"/>
      <w:r w:rsidRPr="00AE33B0">
        <w:rPr>
          <w:rFonts w:eastAsia="Times New Roman" w:cs="Times New Roman"/>
          <w:b/>
          <w:bCs/>
          <w:kern w:val="36"/>
          <w:sz w:val="42"/>
          <w:szCs w:val="42"/>
        </w:rPr>
        <w:t>?</w:t>
      </w:r>
    </w:p>
    <w:p w14:paraId="47F8BF9E" w14:textId="1E417966" w:rsidR="00AE33B0" w:rsidRPr="00AE33B0" w:rsidRDefault="00AE33B0" w:rsidP="00AE33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E2E"/>
          <w:sz w:val="21"/>
          <w:szCs w:val="21"/>
        </w:rPr>
      </w:pPr>
    </w:p>
    <w:p w14:paraId="3EC5DBBB" w14:textId="7DC95989" w:rsidR="00AE33B0" w:rsidRPr="00AE33B0" w:rsidRDefault="00AE33B0" w:rsidP="00AE33B0">
      <w:pPr>
        <w:shd w:val="clear" w:color="auto" w:fill="FFFFFF"/>
        <w:spacing w:before="180" w:after="180" w:line="240" w:lineRule="auto"/>
        <w:outlineLvl w:val="1"/>
        <w:rPr>
          <w:rFonts w:eastAsia="Times New Roman" w:cs="Times New Roman"/>
          <w:b/>
          <w:bCs/>
          <w:color w:val="2E2E2E"/>
          <w:sz w:val="33"/>
          <w:szCs w:val="33"/>
        </w:rPr>
      </w:pPr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 xml:space="preserve">1. </w:t>
      </w:r>
      <w:proofErr w:type="spellStart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>Có</w:t>
      </w:r>
      <w:proofErr w:type="spellEnd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>được</w:t>
      </w:r>
      <w:proofErr w:type="spellEnd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>thực</w:t>
      </w:r>
      <w:proofErr w:type="spellEnd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>hiện</w:t>
      </w:r>
      <w:proofErr w:type="spellEnd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>thủ</w:t>
      </w:r>
      <w:proofErr w:type="spellEnd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>tục</w:t>
      </w:r>
      <w:proofErr w:type="spellEnd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>ủy</w:t>
      </w:r>
      <w:proofErr w:type="spellEnd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>quyền</w:t>
      </w:r>
      <w:proofErr w:type="spellEnd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>thừa</w:t>
      </w:r>
      <w:proofErr w:type="spellEnd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>kế</w:t>
      </w:r>
      <w:proofErr w:type="spellEnd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>không</w:t>
      </w:r>
      <w:proofErr w:type="spellEnd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>?</w:t>
      </w:r>
    </w:p>
    <w:p w14:paraId="478B5FC9" w14:textId="77777777" w:rsidR="00AE33B0" w:rsidRPr="00AE33B0" w:rsidRDefault="00AE33B0" w:rsidP="00AE33B0">
      <w:pPr>
        <w:shd w:val="clear" w:color="auto" w:fill="FFFFFF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Theo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tại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 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fldChar w:fldCharType="begin"/>
      </w:r>
      <w:r w:rsidRPr="00AE33B0">
        <w:rPr>
          <w:rFonts w:eastAsia="Times New Roman" w:cs="Times New Roman"/>
          <w:color w:val="222222"/>
          <w:sz w:val="26"/>
          <w:szCs w:val="26"/>
        </w:rPr>
        <w:instrText xml:space="preserve"> HYPERLINK "https://luatvietnam.vn/dan-su/bo-luat-dan-su-2015-moi-nhat-so-91-2015-qh13-101333-d1.html" </w:instrText>
      </w:r>
      <w:r w:rsidRPr="00AE33B0">
        <w:rPr>
          <w:rFonts w:eastAsia="Times New Roman" w:cs="Times New Roman"/>
          <w:color w:val="222222"/>
          <w:sz w:val="26"/>
          <w:szCs w:val="26"/>
        </w:rPr>
        <w:fldChar w:fldCharType="separate"/>
      </w:r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>Điều</w:t>
      </w:r>
      <w:proofErr w:type="spellEnd"/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 xml:space="preserve"> 562 </w:t>
      </w:r>
      <w:proofErr w:type="spellStart"/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>Bộ</w:t>
      </w:r>
      <w:proofErr w:type="spellEnd"/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 xml:space="preserve"> </w:t>
      </w:r>
      <w:proofErr w:type="spellStart"/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>luật</w:t>
      </w:r>
      <w:proofErr w:type="spellEnd"/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 xml:space="preserve"> </w:t>
      </w:r>
      <w:proofErr w:type="spellStart"/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>Dân</w:t>
      </w:r>
      <w:proofErr w:type="spellEnd"/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 xml:space="preserve"> </w:t>
      </w:r>
      <w:proofErr w:type="spellStart"/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>sự</w:t>
      </w:r>
      <w:proofErr w:type="spellEnd"/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 xml:space="preserve"> </w:t>
      </w:r>
      <w:proofErr w:type="spellStart"/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>năm</w:t>
      </w:r>
      <w:proofErr w:type="spellEnd"/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 xml:space="preserve"> 2015</w:t>
      </w:r>
      <w:r w:rsidRPr="00AE33B0">
        <w:rPr>
          <w:rFonts w:eastAsia="Times New Roman" w:cs="Times New Roman"/>
          <w:color w:val="222222"/>
          <w:sz w:val="26"/>
          <w:szCs w:val="26"/>
        </w:rPr>
        <w:fldChar w:fldCharType="end"/>
      </w:r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thỏa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thuận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:</w:t>
      </w:r>
    </w:p>
    <w:p w14:paraId="48E68D77" w14:textId="77777777" w:rsidR="00AE33B0" w:rsidRPr="00AE33B0" w:rsidRDefault="00AE33B0" w:rsidP="00AE33B0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eastAsia="Times New Roman" w:cs="Times New Roman"/>
          <w:color w:val="2E2E2E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cho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được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giao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dịch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thay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cho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mình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thể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trả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hợc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không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trả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thù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lao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theo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thỏa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thuận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hoặc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theo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định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pháp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luật</w:t>
      </w:r>
      <w:proofErr w:type="spellEnd"/>
    </w:p>
    <w:p w14:paraId="4FCDFA34" w14:textId="77777777" w:rsidR="00AE33B0" w:rsidRPr="00AE33B0" w:rsidRDefault="00AE33B0" w:rsidP="00AE33B0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rPr>
          <w:rFonts w:eastAsia="Times New Roman" w:cs="Times New Roman"/>
          <w:color w:val="2E2E2E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phải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giao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dịch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nhân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danh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cho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được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hoặc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không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thù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lao (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căn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cứ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vào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thỏa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thuận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hoặc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định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pháp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luật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>)</w:t>
      </w:r>
    </w:p>
    <w:p w14:paraId="2C046CEA" w14:textId="77777777" w:rsidR="00AE33B0" w:rsidRPr="00AE33B0" w:rsidRDefault="00AE33B0" w:rsidP="00AE33B0">
      <w:pPr>
        <w:shd w:val="clear" w:color="auto" w:fill="FFFFFF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Đặc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biệt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Bộ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cùng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đều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cấm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 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thủ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tục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thừa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kế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. Do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hoàn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toàn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thủ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tục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thừa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kế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di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sản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thừa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kế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từ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người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.</w:t>
      </w:r>
    </w:p>
    <w:p w14:paraId="40D3268C" w14:textId="77777777" w:rsidR="00AE33B0" w:rsidRPr="00AE33B0" w:rsidRDefault="00AE33B0" w:rsidP="00AE33B0">
      <w:pPr>
        <w:shd w:val="clear" w:color="auto" w:fill="FFFFFF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Trong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thừa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kế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dưới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tư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hoặc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Cả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hai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đều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/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gồm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thỏa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thuận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phân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chia di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sản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thừa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kế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khai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di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sản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thừa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kế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di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sản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thừa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kế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theo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di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chúc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từ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chối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di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sản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thừa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kế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…</w:t>
      </w:r>
    </w:p>
    <w:p w14:paraId="7F7AA505" w14:textId="77777777" w:rsidR="00AE33B0" w:rsidRPr="00AE33B0" w:rsidRDefault="00AE33B0" w:rsidP="00AE33B0">
      <w:pPr>
        <w:shd w:val="clear" w:color="auto" w:fill="FFFFFF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Tuy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nhiên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cần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lưu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ý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rằng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trường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thừa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kế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liên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quan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đến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chuyển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sở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hữu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tài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sản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sử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dụng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bất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động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sản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như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thừa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kế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theo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di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chúc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phân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chia di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sản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thừa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kế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khai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di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sản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thừa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kế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di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sản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…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thì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chữ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ký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(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căn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cứ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 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fldChar w:fldCharType="begin"/>
      </w:r>
      <w:r w:rsidRPr="00AE33B0">
        <w:rPr>
          <w:rFonts w:eastAsia="Times New Roman" w:cs="Times New Roman"/>
          <w:color w:val="222222"/>
          <w:sz w:val="26"/>
          <w:szCs w:val="26"/>
        </w:rPr>
        <w:instrText xml:space="preserve"> HYPERLINK "https://luatvietnam.vn/tu-phap/thong-tu-01-2020-tt-btp-huong-dan-nghi-dinh-23-2015-nd-cp-cap-ban-sao-tu-so-goc-181208-d1.html" </w:instrText>
      </w:r>
      <w:r w:rsidRPr="00AE33B0">
        <w:rPr>
          <w:rFonts w:eastAsia="Times New Roman" w:cs="Times New Roman"/>
          <w:color w:val="222222"/>
          <w:sz w:val="26"/>
          <w:szCs w:val="26"/>
        </w:rPr>
        <w:fldChar w:fldCharType="separate"/>
      </w:r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>Điều</w:t>
      </w:r>
      <w:proofErr w:type="spellEnd"/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 xml:space="preserve"> 14 Thông </w:t>
      </w:r>
      <w:proofErr w:type="spellStart"/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>tư</w:t>
      </w:r>
      <w:proofErr w:type="spellEnd"/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 xml:space="preserve"> 01/2020/TT-BTP</w:t>
      </w:r>
      <w:r w:rsidRPr="00AE33B0">
        <w:rPr>
          <w:rFonts w:eastAsia="Times New Roman" w:cs="Times New Roman"/>
          <w:color w:val="222222"/>
          <w:sz w:val="26"/>
          <w:szCs w:val="26"/>
        </w:rPr>
        <w:fldChar w:fldCharType="end"/>
      </w:r>
      <w:r w:rsidRPr="00AE33B0">
        <w:rPr>
          <w:rFonts w:eastAsia="Times New Roman" w:cs="Times New Roman"/>
          <w:color w:val="222222"/>
          <w:sz w:val="26"/>
          <w:szCs w:val="26"/>
        </w:rPr>
        <w:t>).</w:t>
      </w:r>
    </w:p>
    <w:p w14:paraId="1F199AB1" w14:textId="77777777" w:rsidR="00AE33B0" w:rsidRPr="00AE33B0" w:rsidRDefault="00AE33B0" w:rsidP="00AE33B0">
      <w:pPr>
        <w:shd w:val="clear" w:color="auto" w:fill="FFFFFF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Trong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trường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nêu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nếu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lập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thành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văn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bản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cần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xác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cơ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quan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thẩm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thì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bắt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buộc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phải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lập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tổ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hành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nghề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(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văn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phòng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hoặc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phòng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).</w:t>
      </w:r>
    </w:p>
    <w:p w14:paraId="0677D742" w14:textId="7BF6910C" w:rsidR="00AE33B0" w:rsidRPr="00AE33B0" w:rsidRDefault="00AE33B0" w:rsidP="00AE33B0">
      <w:pPr>
        <w:shd w:val="clear" w:color="auto" w:fill="FFFFFF"/>
        <w:spacing w:before="180" w:after="180" w:line="240" w:lineRule="auto"/>
        <w:outlineLvl w:val="1"/>
        <w:rPr>
          <w:rFonts w:eastAsia="Times New Roman" w:cs="Times New Roman"/>
          <w:b/>
          <w:bCs/>
          <w:color w:val="2E2E2E"/>
          <w:sz w:val="33"/>
          <w:szCs w:val="33"/>
        </w:rPr>
      </w:pPr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 xml:space="preserve">2. </w:t>
      </w:r>
      <w:proofErr w:type="spellStart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>Cập</w:t>
      </w:r>
      <w:proofErr w:type="spellEnd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>nhật</w:t>
      </w:r>
      <w:proofErr w:type="spellEnd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>thủ</w:t>
      </w:r>
      <w:proofErr w:type="spellEnd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>tục</w:t>
      </w:r>
      <w:proofErr w:type="spellEnd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>ủy</w:t>
      </w:r>
      <w:proofErr w:type="spellEnd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>quyền</w:t>
      </w:r>
      <w:proofErr w:type="spellEnd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>thừa</w:t>
      </w:r>
      <w:proofErr w:type="spellEnd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>kế</w:t>
      </w:r>
      <w:proofErr w:type="spellEnd"/>
      <w:r w:rsidRPr="00AE33B0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</w:p>
    <w:p w14:paraId="3E89A62A" w14:textId="77777777" w:rsidR="00AE33B0" w:rsidRPr="00AE33B0" w:rsidRDefault="00AE33B0" w:rsidP="00AE33B0">
      <w:pPr>
        <w:shd w:val="clear" w:color="auto" w:fill="FFFFFF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Do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cấm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 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thủ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tục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thừa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kế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bài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viết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này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sẽ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trình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bày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cụ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trình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tự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thủ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tục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thừa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kế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căn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cứ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 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fldChar w:fldCharType="begin"/>
      </w:r>
      <w:r w:rsidRPr="00AE33B0">
        <w:rPr>
          <w:rFonts w:eastAsia="Times New Roman" w:cs="Times New Roman"/>
          <w:color w:val="222222"/>
          <w:sz w:val="26"/>
          <w:szCs w:val="26"/>
        </w:rPr>
        <w:instrText xml:space="preserve"> HYPERLINK "https://luatvietnam.vn/hanh-chinh/luat-cong-chung-2014-87931-d1.html" </w:instrText>
      </w:r>
      <w:r w:rsidRPr="00AE33B0">
        <w:rPr>
          <w:rFonts w:eastAsia="Times New Roman" w:cs="Times New Roman"/>
          <w:color w:val="222222"/>
          <w:sz w:val="26"/>
          <w:szCs w:val="26"/>
        </w:rPr>
        <w:fldChar w:fldCharType="separate"/>
      </w:r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>Điều</w:t>
      </w:r>
      <w:proofErr w:type="spellEnd"/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 xml:space="preserve"> 55 </w:t>
      </w:r>
      <w:proofErr w:type="spellStart"/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>Luật</w:t>
      </w:r>
      <w:proofErr w:type="spellEnd"/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 xml:space="preserve"> Công </w:t>
      </w:r>
      <w:proofErr w:type="spellStart"/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>chứng</w:t>
      </w:r>
      <w:proofErr w:type="spellEnd"/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 xml:space="preserve"> </w:t>
      </w:r>
      <w:proofErr w:type="spellStart"/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>năm</w:t>
      </w:r>
      <w:proofErr w:type="spellEnd"/>
      <w:r w:rsidRPr="00AE33B0">
        <w:rPr>
          <w:rFonts w:eastAsia="Times New Roman" w:cs="Times New Roman"/>
          <w:color w:val="A67942"/>
          <w:sz w:val="26"/>
          <w:szCs w:val="26"/>
          <w:u w:val="single"/>
        </w:rPr>
        <w:t xml:space="preserve"> 2014</w:t>
      </w:r>
      <w:r w:rsidRPr="00AE33B0">
        <w:rPr>
          <w:rFonts w:eastAsia="Times New Roman" w:cs="Times New Roman"/>
          <w:color w:val="222222"/>
          <w:sz w:val="26"/>
          <w:szCs w:val="26"/>
        </w:rPr>
        <w:fldChar w:fldCharType="end"/>
      </w:r>
      <w:r w:rsidRPr="00AE33B0">
        <w:rPr>
          <w:rFonts w:eastAsia="Times New Roman" w:cs="Times New Roman"/>
          <w:color w:val="222222"/>
          <w:sz w:val="26"/>
          <w:szCs w:val="26"/>
        </w:rPr>
        <w:t xml:space="preserve">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Cụ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như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sau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:</w:t>
      </w:r>
    </w:p>
    <w:p w14:paraId="41B87306" w14:textId="77777777" w:rsidR="00AE33B0" w:rsidRPr="00AE33B0" w:rsidRDefault="00AE33B0" w:rsidP="00AE33B0">
      <w:pPr>
        <w:shd w:val="clear" w:color="auto" w:fill="FFFFFF"/>
        <w:spacing w:before="180" w:after="180" w:line="240" w:lineRule="auto"/>
        <w:outlineLvl w:val="2"/>
        <w:rPr>
          <w:rFonts w:eastAsia="Times New Roman" w:cs="Times New Roman"/>
          <w:b/>
          <w:bCs/>
          <w:color w:val="2E2E2E"/>
          <w:sz w:val="30"/>
          <w:szCs w:val="30"/>
        </w:rPr>
      </w:pPr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2.1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Hồ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sơ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cần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chuẩn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bị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gồm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những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gì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?</w:t>
      </w:r>
    </w:p>
    <w:p w14:paraId="5C2177E2" w14:textId="77777777" w:rsidR="00AE33B0" w:rsidRPr="00AE33B0" w:rsidRDefault="00AE33B0" w:rsidP="00AE33B0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eastAsia="Times New Roman" w:cs="Times New Roman"/>
          <w:color w:val="2E2E2E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Phiếu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yêu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cầu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do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tổ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chức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hành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nghề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lập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.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Đây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là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căn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cứ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để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tổ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chức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hành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nghề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tiếp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yêu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cầu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những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người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thừa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kế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di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sản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>.</w:t>
      </w:r>
    </w:p>
    <w:p w14:paraId="0B00F69E" w14:textId="77777777" w:rsidR="00AE33B0" w:rsidRPr="00AE33B0" w:rsidRDefault="00AE33B0" w:rsidP="00AE33B0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eastAsia="Times New Roman" w:cs="Times New Roman"/>
          <w:color w:val="2E2E2E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lastRenderedPageBreak/>
        <w:t>Hợp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(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dự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thảo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-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nếu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).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Dự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thảo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phải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bao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gồm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đủ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nội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dung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về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thông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tin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thông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tin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về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di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sản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thừa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kế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thông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tin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về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thỏa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thuận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gồm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nội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dung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(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giai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đoạn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nào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thừa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kế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trả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phí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hay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không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thời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hạn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là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bao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lâu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>…)</w:t>
      </w:r>
    </w:p>
    <w:p w14:paraId="3F01B2E3" w14:textId="77777777" w:rsidR="00AE33B0" w:rsidRPr="00AE33B0" w:rsidRDefault="00AE33B0" w:rsidP="00AE33B0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eastAsia="Times New Roman" w:cs="Times New Roman"/>
          <w:color w:val="2E2E2E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Bản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sao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giấy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tờ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tùy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thân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: Trong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đó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giấy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tờ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tùy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thân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thể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gồm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minh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nhân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dân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hoặc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Căn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cước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dân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hoặc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hộ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chiếu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còn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hạn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sử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dụng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>…</w:t>
      </w:r>
    </w:p>
    <w:p w14:paraId="3F387DBD" w14:textId="77777777" w:rsidR="00AE33B0" w:rsidRPr="00AE33B0" w:rsidRDefault="00AE33B0" w:rsidP="00AE33B0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rPr>
          <w:rFonts w:eastAsia="Times New Roman" w:cs="Times New Roman"/>
          <w:color w:val="2E2E2E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Giấy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tờ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về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đối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tượng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(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bản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sao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). Trong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trường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này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đối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tượng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là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di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sản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thừa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kế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. Do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đó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thể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là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giấy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tờ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về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sử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dụng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đất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như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Sổ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đỏ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sổ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hồng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biên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bản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bàn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giao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…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hoặc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giấy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tờ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sổ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tiết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kiệm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đăng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ký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xe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>…</w:t>
      </w:r>
    </w:p>
    <w:p w14:paraId="753C9C3D" w14:textId="77777777" w:rsidR="00AE33B0" w:rsidRPr="00AE33B0" w:rsidRDefault="00AE33B0" w:rsidP="00AE33B0">
      <w:pPr>
        <w:shd w:val="clear" w:color="auto" w:fill="FFFFFF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cạnh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những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loại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tờ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phải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nộp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tổ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hành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nghề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ở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người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yêu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cầu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còn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phải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xuất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trình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bản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gốc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loại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tờ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chỉ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yêu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cầu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bản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sao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ở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.</w:t>
      </w:r>
    </w:p>
    <w:p w14:paraId="3142D589" w14:textId="77777777" w:rsidR="00AE33B0" w:rsidRPr="00AE33B0" w:rsidRDefault="00AE33B0" w:rsidP="00AE33B0">
      <w:pPr>
        <w:shd w:val="clear" w:color="auto" w:fill="FFFFFF"/>
        <w:spacing w:before="180" w:after="180" w:line="240" w:lineRule="auto"/>
        <w:outlineLvl w:val="2"/>
        <w:rPr>
          <w:rFonts w:eastAsia="Times New Roman" w:cs="Times New Roman"/>
          <w:b/>
          <w:bCs/>
          <w:color w:val="2E2E2E"/>
          <w:sz w:val="30"/>
          <w:szCs w:val="30"/>
        </w:rPr>
      </w:pPr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2.2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Cơ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quan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thực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hiện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công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chứng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là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cơ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quan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nào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?</w:t>
      </w:r>
    </w:p>
    <w:p w14:paraId="6C06A888" w14:textId="77777777" w:rsidR="00AE33B0" w:rsidRPr="00AE33B0" w:rsidRDefault="00AE33B0" w:rsidP="00AE33B0">
      <w:pPr>
        <w:shd w:val="clear" w:color="auto" w:fill="FFFFFF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Sau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thống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nhất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thừa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kế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thừa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kế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đến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bất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tổ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hành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nghề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nào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gồm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văn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phòng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hoặc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phòng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.</w:t>
      </w:r>
    </w:p>
    <w:p w14:paraId="567C5959" w14:textId="77777777" w:rsidR="00AE33B0" w:rsidRPr="00AE33B0" w:rsidRDefault="00AE33B0" w:rsidP="00AE33B0">
      <w:pPr>
        <w:shd w:val="clear" w:color="auto" w:fill="FFFFFF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Đặc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biệt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thậm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chí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còn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ở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nơi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nhau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tức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nếu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cả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hai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cùng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đến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một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tổ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thừa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kế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thì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như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sau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:</w:t>
      </w:r>
    </w:p>
    <w:p w14:paraId="7B7C938E" w14:textId="77777777" w:rsidR="00AE33B0" w:rsidRPr="00AE33B0" w:rsidRDefault="00AE33B0" w:rsidP="00AE33B0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eastAsia="Times New Roman" w:cs="Times New Roman"/>
          <w:color w:val="2E2E2E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đến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một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tổ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chức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hành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nghề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</w:p>
    <w:p w14:paraId="7535A1D3" w14:textId="77777777" w:rsidR="00AE33B0" w:rsidRPr="00AE33B0" w:rsidRDefault="00AE33B0" w:rsidP="00AE33B0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rPr>
          <w:rFonts w:eastAsia="Times New Roman" w:cs="Times New Roman"/>
          <w:color w:val="2E2E2E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sau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khi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được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đã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được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“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một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nửa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>” (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phía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người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)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thể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đến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một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tổ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chức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hành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nghề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khác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để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tiếp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vào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gốc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đã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ở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trên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hoàn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tất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thủ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tục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E2E2E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E2E2E"/>
          <w:sz w:val="26"/>
          <w:szCs w:val="26"/>
        </w:rPr>
        <w:t>.</w:t>
      </w:r>
    </w:p>
    <w:p w14:paraId="258E0394" w14:textId="77777777" w:rsidR="00AE33B0" w:rsidRPr="00AE33B0" w:rsidRDefault="00AE33B0" w:rsidP="00AE33B0">
      <w:pPr>
        <w:shd w:val="clear" w:color="auto" w:fill="FFFFFF"/>
        <w:spacing w:before="180" w:after="180" w:line="240" w:lineRule="auto"/>
        <w:outlineLvl w:val="2"/>
        <w:rPr>
          <w:rFonts w:eastAsia="Times New Roman" w:cs="Times New Roman"/>
          <w:b/>
          <w:bCs/>
          <w:color w:val="2E2E2E"/>
          <w:sz w:val="30"/>
          <w:szCs w:val="30"/>
        </w:rPr>
      </w:pPr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2.3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Thời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gian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,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trình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tự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thực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hiện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thủ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tục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ủy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quyền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thừa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kế</w:t>
      </w:r>
      <w:proofErr w:type="spellEnd"/>
    </w:p>
    <w:p w14:paraId="542C1C35" w14:textId="77777777" w:rsidR="00AE33B0" w:rsidRPr="00AE33B0" w:rsidRDefault="00AE33B0" w:rsidP="00AE33B0">
      <w:pPr>
        <w:shd w:val="clear" w:color="auto" w:fill="FFFFFF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Thông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thường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thủ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tục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quá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phức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tạp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. Do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theo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thì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thời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gian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sẽ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quá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02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ngày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làm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. Tuy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nhiên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tế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thời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gian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này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thường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sẽ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một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buổi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một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ngày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làm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.</w:t>
      </w:r>
    </w:p>
    <w:p w14:paraId="12E8C713" w14:textId="77777777" w:rsidR="00AE33B0" w:rsidRPr="00AE33B0" w:rsidRDefault="00AE33B0" w:rsidP="00AE33B0">
      <w:pPr>
        <w:shd w:val="clear" w:color="auto" w:fill="FFFFFF"/>
        <w:spacing w:before="180" w:after="180" w:line="240" w:lineRule="auto"/>
        <w:outlineLvl w:val="2"/>
        <w:rPr>
          <w:rFonts w:eastAsia="Times New Roman" w:cs="Times New Roman"/>
          <w:b/>
          <w:bCs/>
          <w:color w:val="2E2E2E"/>
          <w:sz w:val="30"/>
          <w:szCs w:val="30"/>
        </w:rPr>
      </w:pPr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2.4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Phí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,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thù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lao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công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chứng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phải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nộp</w:t>
      </w:r>
      <w:proofErr w:type="spellEnd"/>
    </w:p>
    <w:p w14:paraId="0729E625" w14:textId="77777777" w:rsidR="00AE33B0" w:rsidRPr="00AE33B0" w:rsidRDefault="00AE33B0" w:rsidP="00AE33B0">
      <w:pPr>
        <w:shd w:val="clear" w:color="auto" w:fill="FFFFFF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loại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tính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phí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thù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lao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theo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giá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trị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tài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sản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. Do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theo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Thông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tư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 </w:t>
      </w:r>
      <w:hyperlink r:id="rId5" w:history="1">
        <w:r w:rsidRPr="00AE33B0">
          <w:rPr>
            <w:rFonts w:eastAsia="Times New Roman" w:cs="Times New Roman"/>
            <w:color w:val="A67942"/>
            <w:sz w:val="26"/>
            <w:szCs w:val="26"/>
            <w:u w:val="single"/>
          </w:rPr>
          <w:t>257/2016/TT-BTC</w:t>
        </w:r>
      </w:hyperlink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phí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50.000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/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trường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.</w:t>
      </w:r>
    </w:p>
    <w:p w14:paraId="6D6EBC6E" w14:textId="77777777" w:rsidR="00AE33B0" w:rsidRPr="00AE33B0" w:rsidRDefault="00AE33B0" w:rsidP="00AE33B0">
      <w:pPr>
        <w:shd w:val="clear" w:color="auto" w:fill="FFFFFF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lastRenderedPageBreak/>
        <w:t>Ngoài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ra,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thù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lao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sẽ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do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từng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tổ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hành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nghề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căn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cứ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vào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mức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trần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Hội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nhân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cấp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tỉnh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địa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phương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quyết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.</w:t>
      </w:r>
    </w:p>
    <w:p w14:paraId="4C3FC17F" w14:textId="77777777" w:rsidR="00AE33B0" w:rsidRPr="00AE33B0" w:rsidRDefault="00AE33B0" w:rsidP="00AE33B0">
      <w:pPr>
        <w:shd w:val="clear" w:color="auto" w:fill="FFFFFF"/>
        <w:spacing w:before="180" w:after="180" w:line="240" w:lineRule="auto"/>
        <w:outlineLvl w:val="2"/>
        <w:rPr>
          <w:rFonts w:eastAsia="Times New Roman" w:cs="Times New Roman"/>
          <w:b/>
          <w:bCs/>
          <w:color w:val="2E2E2E"/>
          <w:sz w:val="30"/>
          <w:szCs w:val="30"/>
        </w:rPr>
      </w:pPr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2.5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Mẫu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giấy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ủy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quyền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thừa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kế</w:t>
      </w:r>
      <w:proofErr w:type="spellEnd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 xml:space="preserve"> chi </w:t>
      </w:r>
      <w:proofErr w:type="spellStart"/>
      <w:r w:rsidRPr="00AE33B0">
        <w:rPr>
          <w:rFonts w:eastAsia="Times New Roman" w:cs="Times New Roman"/>
          <w:b/>
          <w:bCs/>
          <w:i/>
          <w:iCs/>
          <w:color w:val="2E2E2E"/>
          <w:sz w:val="30"/>
          <w:szCs w:val="30"/>
        </w:rPr>
        <w:t>tiết</w:t>
      </w:r>
      <w:proofErr w:type="spellEnd"/>
    </w:p>
    <w:p w14:paraId="44EEF097" w14:textId="77777777" w:rsidR="00AE33B0" w:rsidRPr="00AE33B0" w:rsidRDefault="00AE33B0" w:rsidP="00AE33B0">
      <w:pPr>
        <w:shd w:val="clear" w:color="auto" w:fill="FFFFFF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Dưới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đây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mẫu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dự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thảo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dụng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phổ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biến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nhất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.</w:t>
      </w:r>
    </w:p>
    <w:p w14:paraId="1D90A753" w14:textId="77777777" w:rsidR="00AE33B0" w:rsidRPr="00AE33B0" w:rsidRDefault="00AE33B0" w:rsidP="00AE33B0">
      <w:pPr>
        <w:shd w:val="clear" w:color="auto" w:fill="FFFFFF"/>
        <w:spacing w:line="240" w:lineRule="auto"/>
        <w:rPr>
          <w:rFonts w:eastAsia="Times New Roman" w:cs="Times New Roman"/>
          <w:color w:val="2E2E2E"/>
          <w:sz w:val="26"/>
          <w:szCs w:val="26"/>
        </w:rPr>
      </w:pPr>
      <w:hyperlink r:id="rId6" w:tgtFrame="_blank" w:tooltip="Tải biểu mẫu" w:history="1">
        <w:r w:rsidRPr="00AE33B0">
          <w:rPr>
            <w:rFonts w:eastAsia="Times New Roman" w:cs="Times New Roman"/>
            <w:b/>
            <w:bCs/>
            <w:color w:val="FFFFFF"/>
            <w:sz w:val="24"/>
            <w:szCs w:val="24"/>
            <w:u w:val="single"/>
            <w:shd w:val="clear" w:color="auto" w:fill="ED1D35"/>
          </w:rPr>
          <w:t> </w:t>
        </w:r>
        <w:proofErr w:type="spellStart"/>
        <w:r w:rsidRPr="00AE33B0">
          <w:rPr>
            <w:rFonts w:eastAsia="Times New Roman" w:cs="Times New Roman"/>
            <w:b/>
            <w:bCs/>
            <w:color w:val="FFFFFF"/>
            <w:sz w:val="24"/>
            <w:szCs w:val="24"/>
            <w:u w:val="single"/>
            <w:shd w:val="clear" w:color="auto" w:fill="ED1D35"/>
          </w:rPr>
          <w:t>Tải</w:t>
        </w:r>
        <w:proofErr w:type="spellEnd"/>
        <w:r w:rsidRPr="00AE33B0">
          <w:rPr>
            <w:rFonts w:eastAsia="Times New Roman" w:cs="Times New Roman"/>
            <w:b/>
            <w:bCs/>
            <w:color w:val="FFFFFF"/>
            <w:sz w:val="24"/>
            <w:szCs w:val="24"/>
            <w:u w:val="single"/>
            <w:shd w:val="clear" w:color="auto" w:fill="ED1D35"/>
          </w:rPr>
          <w:t xml:space="preserve"> </w:t>
        </w:r>
        <w:proofErr w:type="spellStart"/>
        <w:r w:rsidRPr="00AE33B0">
          <w:rPr>
            <w:rFonts w:eastAsia="Times New Roman" w:cs="Times New Roman"/>
            <w:b/>
            <w:bCs/>
            <w:color w:val="FFFFFF"/>
            <w:sz w:val="24"/>
            <w:szCs w:val="24"/>
            <w:u w:val="single"/>
            <w:shd w:val="clear" w:color="auto" w:fill="ED1D35"/>
          </w:rPr>
          <w:t>về</w:t>
        </w:r>
        <w:proofErr w:type="spellEnd"/>
      </w:hyperlink>
    </w:p>
    <w:p w14:paraId="516FE628" w14:textId="77777777" w:rsidR="00AE33B0" w:rsidRPr="00AE33B0" w:rsidRDefault="00AE33B0" w:rsidP="00AE33B0">
      <w:pPr>
        <w:shd w:val="clear" w:color="auto" w:fill="666666"/>
        <w:spacing w:after="0" w:line="240" w:lineRule="auto"/>
        <w:rPr>
          <w:rFonts w:eastAsia="Times New Roman" w:cs="Times New Roman"/>
          <w:color w:val="2E2E2E"/>
          <w:sz w:val="26"/>
          <w:szCs w:val="26"/>
        </w:rPr>
      </w:pPr>
      <w:hyperlink r:id="rId7" w:tooltip="Sửa/In biểu mẫu" w:history="1">
        <w:r w:rsidRPr="00AE33B0">
          <w:rPr>
            <w:rFonts w:eastAsia="Times New Roman" w:cs="Times New Roman"/>
            <w:color w:val="0000FF"/>
            <w:sz w:val="26"/>
            <w:szCs w:val="26"/>
            <w:u w:val="single"/>
          </w:rPr>
          <w:t> </w:t>
        </w:r>
        <w:proofErr w:type="spellStart"/>
        <w:r w:rsidRPr="00AE33B0">
          <w:rPr>
            <w:rFonts w:eastAsia="Times New Roman" w:cs="Times New Roman"/>
            <w:color w:val="0000FF"/>
            <w:sz w:val="26"/>
            <w:szCs w:val="26"/>
            <w:u w:val="single"/>
          </w:rPr>
          <w:t>Sửa</w:t>
        </w:r>
        <w:proofErr w:type="spellEnd"/>
        <w:r w:rsidRPr="00AE33B0">
          <w:rPr>
            <w:rFonts w:eastAsia="Times New Roman" w:cs="Times New Roman"/>
            <w:color w:val="0000FF"/>
            <w:sz w:val="26"/>
            <w:szCs w:val="26"/>
            <w:u w:val="single"/>
          </w:rPr>
          <w:t xml:space="preserve">/In </w:t>
        </w:r>
        <w:proofErr w:type="spellStart"/>
        <w:r w:rsidRPr="00AE33B0">
          <w:rPr>
            <w:rFonts w:eastAsia="Times New Roman" w:cs="Times New Roman"/>
            <w:color w:val="0000FF"/>
            <w:sz w:val="26"/>
            <w:szCs w:val="26"/>
            <w:u w:val="single"/>
          </w:rPr>
          <w:t>biểu</w:t>
        </w:r>
        <w:proofErr w:type="spellEnd"/>
        <w:r w:rsidRPr="00AE33B0">
          <w:rPr>
            <w:rFonts w:eastAsia="Times New Roman" w:cs="Times New Roman"/>
            <w:color w:val="0000FF"/>
            <w:sz w:val="26"/>
            <w:szCs w:val="26"/>
            <w:u w:val="single"/>
          </w:rPr>
          <w:t xml:space="preserve"> </w:t>
        </w:r>
        <w:proofErr w:type="spellStart"/>
        <w:r w:rsidRPr="00AE33B0">
          <w:rPr>
            <w:rFonts w:eastAsia="Times New Roman" w:cs="Times New Roman"/>
            <w:color w:val="0000FF"/>
            <w:sz w:val="26"/>
            <w:szCs w:val="26"/>
            <w:u w:val="single"/>
          </w:rPr>
          <w:t>mẫu</w:t>
        </w:r>
        <w:proofErr w:type="spellEnd"/>
      </w:hyperlink>
    </w:p>
    <w:p w14:paraId="4CDD5F8D" w14:textId="77777777" w:rsidR="00AE33B0" w:rsidRPr="00AE33B0" w:rsidRDefault="00AE33B0" w:rsidP="00AE33B0">
      <w:pPr>
        <w:shd w:val="clear" w:color="auto" w:fill="FAFAFA"/>
        <w:spacing w:before="180" w:after="180" w:line="240" w:lineRule="auto"/>
        <w:jc w:val="center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CỘNG HÒA XÃ HỘI CHỦ NGHĨA VIỆT NAM</w:t>
      </w:r>
    </w:p>
    <w:p w14:paraId="63A787F3" w14:textId="77777777" w:rsidR="00AE33B0" w:rsidRPr="00AE33B0" w:rsidRDefault="00AE33B0" w:rsidP="00AE33B0">
      <w:pPr>
        <w:shd w:val="clear" w:color="auto" w:fill="FAFAFA"/>
        <w:spacing w:before="180" w:after="180" w:line="240" w:lineRule="auto"/>
        <w:jc w:val="center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Độc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lập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-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Tự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do -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Hạnh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phúc</w:t>
      </w:r>
      <w:proofErr w:type="spellEnd"/>
    </w:p>
    <w:p w14:paraId="2D176C6A" w14:textId="77777777" w:rsidR="00AE33B0" w:rsidRPr="00AE33B0" w:rsidRDefault="00AE33B0" w:rsidP="00AE33B0">
      <w:pPr>
        <w:shd w:val="clear" w:color="auto" w:fill="FAFAFA"/>
        <w:spacing w:before="180" w:after="180" w:line="240" w:lineRule="auto"/>
        <w:jc w:val="center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HỢP ĐỒNG ỦY QUYỀN</w:t>
      </w:r>
    </w:p>
    <w:p w14:paraId="76A6F100" w14:textId="77777777" w:rsidR="00AE33B0" w:rsidRPr="00AE33B0" w:rsidRDefault="00AE33B0" w:rsidP="00AE33B0">
      <w:pPr>
        <w:shd w:val="clear" w:color="auto" w:fill="FAFAFA"/>
        <w:spacing w:before="180" w:after="180" w:line="240" w:lineRule="auto"/>
        <w:jc w:val="center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i/>
          <w:iCs/>
          <w:color w:val="222222"/>
          <w:sz w:val="26"/>
          <w:szCs w:val="26"/>
        </w:rPr>
        <w:t>Số</w:t>
      </w:r>
      <w:proofErr w:type="spellEnd"/>
      <w:r w:rsidRPr="00AE33B0">
        <w:rPr>
          <w:rFonts w:eastAsia="Times New Roman" w:cs="Times New Roman"/>
          <w:i/>
          <w:iCs/>
          <w:color w:val="222222"/>
          <w:sz w:val="26"/>
          <w:szCs w:val="26"/>
        </w:rPr>
        <w:t>: …………/HĐUQ</w:t>
      </w:r>
    </w:p>
    <w:p w14:paraId="7D788CAD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Hôm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nay,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ngày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……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tháng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……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năm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…….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Tại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…………</w:t>
      </w:r>
      <w:proofErr w:type="gramStart"/>
      <w:r w:rsidRPr="00AE33B0">
        <w:rPr>
          <w:rFonts w:eastAsia="Times New Roman" w:cs="Times New Roman"/>
          <w:color w:val="222222"/>
          <w:sz w:val="26"/>
          <w:szCs w:val="26"/>
        </w:rPr>
        <w:t>…,,</w:t>
      </w:r>
      <w:proofErr w:type="gram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chúng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tôi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gồm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:</w:t>
      </w:r>
    </w:p>
    <w:p w14:paraId="14B9B679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(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sau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đây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gọi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là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A):</w:t>
      </w:r>
    </w:p>
    <w:p w14:paraId="3399E98B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(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Bà</w:t>
      </w:r>
      <w:proofErr w:type="spellEnd"/>
      <w:proofErr w:type="gramStart"/>
      <w:r w:rsidRPr="00AE33B0">
        <w:rPr>
          <w:rFonts w:eastAsia="Times New Roman" w:cs="Times New Roman"/>
          <w:color w:val="222222"/>
          <w:sz w:val="26"/>
          <w:szCs w:val="26"/>
        </w:rPr>
        <w:t>):…</w:t>
      </w:r>
      <w:proofErr w:type="gramEnd"/>
      <w:r w:rsidRPr="00AE33B0">
        <w:rPr>
          <w:rFonts w:eastAsia="Times New Roman" w:cs="Times New Roman"/>
          <w:color w:val="222222"/>
          <w:sz w:val="26"/>
          <w:szCs w:val="26"/>
        </w:rPr>
        <w:t>…………………………………….</w:t>
      </w:r>
    </w:p>
    <w:p w14:paraId="32A14C11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Sinh </w:t>
      </w:r>
      <w:proofErr w:type="spellStart"/>
      <w:proofErr w:type="gramStart"/>
      <w:r w:rsidRPr="00AE33B0">
        <w:rPr>
          <w:rFonts w:eastAsia="Times New Roman" w:cs="Times New Roman"/>
          <w:color w:val="222222"/>
          <w:sz w:val="26"/>
          <w:szCs w:val="26"/>
        </w:rPr>
        <w:t>ngày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:.</w:t>
      </w:r>
      <w:proofErr w:type="gramEnd"/>
      <w:r w:rsidRPr="00AE33B0">
        <w:rPr>
          <w:rFonts w:eastAsia="Times New Roman" w:cs="Times New Roman"/>
          <w:color w:val="222222"/>
          <w:sz w:val="26"/>
          <w:szCs w:val="26"/>
        </w:rPr>
        <w:t>……………………………………………………………………..</w:t>
      </w:r>
    </w:p>
    <w:p w14:paraId="70F00875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>CMND/</w:t>
      </w:r>
      <w:proofErr w:type="gramStart"/>
      <w:r w:rsidRPr="00AE33B0">
        <w:rPr>
          <w:rFonts w:eastAsia="Times New Roman" w:cs="Times New Roman"/>
          <w:color w:val="222222"/>
          <w:sz w:val="26"/>
          <w:szCs w:val="26"/>
        </w:rPr>
        <w:t>CCCD:…</w:t>
      </w:r>
      <w:proofErr w:type="gramEnd"/>
      <w:r w:rsidRPr="00AE33B0">
        <w:rPr>
          <w:rFonts w:eastAsia="Times New Roman" w:cs="Times New Roman"/>
          <w:color w:val="222222"/>
          <w:sz w:val="26"/>
          <w:szCs w:val="26"/>
        </w:rPr>
        <w:t>…..…….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cấp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ngày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………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tại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…………………..</w:t>
      </w:r>
    </w:p>
    <w:p w14:paraId="43815A01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Hộ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khẩu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thường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trú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: (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Trường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hộ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khẩu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thường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trú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thì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ghi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đăng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ký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tạm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trú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) ……………………………</w:t>
      </w:r>
      <w:proofErr w:type="gramStart"/>
      <w:r w:rsidRPr="00AE33B0">
        <w:rPr>
          <w:rFonts w:eastAsia="Times New Roman" w:cs="Times New Roman"/>
          <w:color w:val="222222"/>
          <w:sz w:val="26"/>
          <w:szCs w:val="26"/>
        </w:rPr>
        <w:t>…..</w:t>
      </w:r>
      <w:proofErr w:type="gramEnd"/>
    </w:p>
    <w:p w14:paraId="5466A89C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được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(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sau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đây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gọi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là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 xml:space="preserve"> B):</w:t>
      </w:r>
    </w:p>
    <w:p w14:paraId="015F571F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(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Bà</w:t>
      </w:r>
      <w:proofErr w:type="spellEnd"/>
      <w:proofErr w:type="gramStart"/>
      <w:r w:rsidRPr="00AE33B0">
        <w:rPr>
          <w:rFonts w:eastAsia="Times New Roman" w:cs="Times New Roman"/>
          <w:color w:val="222222"/>
          <w:sz w:val="26"/>
          <w:szCs w:val="26"/>
        </w:rPr>
        <w:t>):…</w:t>
      </w:r>
      <w:proofErr w:type="gramEnd"/>
      <w:r w:rsidRPr="00AE33B0">
        <w:rPr>
          <w:rFonts w:eastAsia="Times New Roman" w:cs="Times New Roman"/>
          <w:color w:val="222222"/>
          <w:sz w:val="26"/>
          <w:szCs w:val="26"/>
        </w:rPr>
        <w:t>…………………………………….</w:t>
      </w:r>
    </w:p>
    <w:p w14:paraId="419DE9B3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Sinh </w:t>
      </w:r>
      <w:proofErr w:type="spellStart"/>
      <w:proofErr w:type="gramStart"/>
      <w:r w:rsidRPr="00AE33B0">
        <w:rPr>
          <w:rFonts w:eastAsia="Times New Roman" w:cs="Times New Roman"/>
          <w:color w:val="222222"/>
          <w:sz w:val="26"/>
          <w:szCs w:val="26"/>
        </w:rPr>
        <w:t>ngày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:.</w:t>
      </w:r>
      <w:proofErr w:type="gramEnd"/>
      <w:r w:rsidRPr="00AE33B0">
        <w:rPr>
          <w:rFonts w:eastAsia="Times New Roman" w:cs="Times New Roman"/>
          <w:color w:val="222222"/>
          <w:sz w:val="26"/>
          <w:szCs w:val="26"/>
        </w:rPr>
        <w:t>……………………………………………………………………..</w:t>
      </w:r>
    </w:p>
    <w:p w14:paraId="621B3CA9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>CMND/</w:t>
      </w:r>
      <w:proofErr w:type="gramStart"/>
      <w:r w:rsidRPr="00AE33B0">
        <w:rPr>
          <w:rFonts w:eastAsia="Times New Roman" w:cs="Times New Roman"/>
          <w:color w:val="222222"/>
          <w:sz w:val="26"/>
          <w:szCs w:val="26"/>
        </w:rPr>
        <w:t>CCCD:…</w:t>
      </w:r>
      <w:proofErr w:type="gramEnd"/>
      <w:r w:rsidRPr="00AE33B0">
        <w:rPr>
          <w:rFonts w:eastAsia="Times New Roman" w:cs="Times New Roman"/>
          <w:color w:val="222222"/>
          <w:sz w:val="26"/>
          <w:szCs w:val="26"/>
        </w:rPr>
        <w:t>…..…….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cấp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ngày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………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tại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…………………..</w:t>
      </w:r>
    </w:p>
    <w:p w14:paraId="49F31362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Hộ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khẩu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thường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trú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: (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Trường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hộ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khẩu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thường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trú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thì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ghi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đăng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ký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tạm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trú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) ……………………………</w:t>
      </w:r>
      <w:proofErr w:type="gramStart"/>
      <w:r w:rsidRPr="00AE33B0">
        <w:rPr>
          <w:rFonts w:eastAsia="Times New Roman" w:cs="Times New Roman"/>
          <w:color w:val="222222"/>
          <w:sz w:val="26"/>
          <w:szCs w:val="26"/>
        </w:rPr>
        <w:t>…..</w:t>
      </w:r>
      <w:proofErr w:type="gramEnd"/>
    </w:p>
    <w:p w14:paraId="0D3B7756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Nay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hai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ý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giao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kết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với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thỏa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thuận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sau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đây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:</w:t>
      </w:r>
    </w:p>
    <w:p w14:paraId="3D5DE4D3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ĐIỀU 1: PHẠM VI ỦY QUYỀN</w:t>
      </w:r>
    </w:p>
    <w:p w14:paraId="56205089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Ghi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cụ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nội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dung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phạm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vi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B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nghĩa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vụ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nhân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danh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A.……………………………………………</w:t>
      </w:r>
    </w:p>
    <w:p w14:paraId="30BE8877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ĐIỀU 2: THỜI HẠN ỦY QUYỀN</w:t>
      </w:r>
    </w:p>
    <w:p w14:paraId="1885F7E7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lastRenderedPageBreak/>
        <w:t>Thời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hạn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..................……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từ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ngày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..........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tháng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…….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năm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……….</w:t>
      </w:r>
    </w:p>
    <w:p w14:paraId="66841502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ĐIỀU 3: THÙ LAO</w:t>
      </w:r>
    </w:p>
    <w:p w14:paraId="7426E17D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Thù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lao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………………</w:t>
      </w:r>
    </w:p>
    <w:p w14:paraId="12A56A9B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Thù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lao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(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nếu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) do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tự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thỏa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thuận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Nếu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thù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lao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cần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ghi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rõ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thời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gian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phương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thức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thanh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toán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thù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lao (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cả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trường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đơn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phương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đình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chỉ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)</w:t>
      </w:r>
    </w:p>
    <w:p w14:paraId="6EF768E3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ĐIỀU 4: NGHĨA VỤ VÀ QUYỀN CỦA BÊN A</w:t>
      </w:r>
    </w:p>
    <w:p w14:paraId="247FCF97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1.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A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nghĩa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vụ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sau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đây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:</w:t>
      </w:r>
    </w:p>
    <w:p w14:paraId="564BA8E6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a. Cung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cấp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tin,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tài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liệu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phương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cần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thiết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B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;</w:t>
      </w:r>
    </w:p>
    <w:p w14:paraId="2F9B5F9D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b.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Chịu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trách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nhiệm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về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cam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kết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do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B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phạm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vi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;</w:t>
      </w:r>
    </w:p>
    <w:p w14:paraId="76AFDEA0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c. Thanh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toán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chi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phí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lý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B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đã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bỏ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ra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trả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thù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lao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B,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nếu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thỏa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thuận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về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trả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thù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lao.</w:t>
      </w:r>
    </w:p>
    <w:p w14:paraId="53FCA319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2.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A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sau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đây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:</w:t>
      </w:r>
    </w:p>
    <w:p w14:paraId="1E09E368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a.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Yêu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cầu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B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báo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đủ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về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;</w:t>
      </w:r>
    </w:p>
    <w:p w14:paraId="7C65C0C7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b.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Yêu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cầu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B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giao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lại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tài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sản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lợi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ích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từ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nếu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thỏa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thuận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;</w:t>
      </w:r>
    </w:p>
    <w:p w14:paraId="66A194BE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c.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bồi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thường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thiệt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hại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nếu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B vi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phạm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nghĩa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vụ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đã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thỏa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thuận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.</w:t>
      </w:r>
    </w:p>
    <w:p w14:paraId="5FD42001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ĐIỀU 5: NGHĨA VỤ VÀ QUYỀN CỦA BÊN B</w:t>
      </w:r>
    </w:p>
    <w:p w14:paraId="67DC9E2D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1.Bên B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nghĩa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vụ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sau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đây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:</w:t>
      </w:r>
    </w:p>
    <w:p w14:paraId="15AD200F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a.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theo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báo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A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về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;</w:t>
      </w:r>
    </w:p>
    <w:p w14:paraId="2DB38EA8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b.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Báo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người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thứ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quan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hệ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về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thời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hạn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phạm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vi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sửa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đổi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bổ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sung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phạm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vi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;</w:t>
      </w:r>
    </w:p>
    <w:p w14:paraId="5C748724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c.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Bảo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quản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giữ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gìn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tài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liệu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phương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giao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;</w:t>
      </w:r>
    </w:p>
    <w:p w14:paraId="7D714E2F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d.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Giữ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bí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mật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tin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mình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biết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;</w:t>
      </w:r>
    </w:p>
    <w:p w14:paraId="7ED166AB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đ. Giao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lại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A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tài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sản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đã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những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lợi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ích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theo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thỏa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thuận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hoặc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theo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;</w:t>
      </w:r>
    </w:p>
    <w:p w14:paraId="425CA93A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e.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Bồi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thường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thiệt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hại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do vi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phạm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nghĩa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vụ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đã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thỏa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thuận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;</w:t>
      </w:r>
    </w:p>
    <w:p w14:paraId="77D500B1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2.Bên B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sau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đây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:</w:t>
      </w:r>
    </w:p>
    <w:p w14:paraId="41887259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lastRenderedPageBreak/>
        <w:t xml:space="preserve">a.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Yêu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cầu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A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cung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cấp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tin,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tài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liệu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phương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cần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thiết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nhằm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;</w:t>
      </w:r>
    </w:p>
    <w:p w14:paraId="2A97977A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b. Hưởng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thù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lao,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thanh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toán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chi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phí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lý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mình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đã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bỏ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ra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.</w:t>
      </w:r>
    </w:p>
    <w:p w14:paraId="149AE051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ĐIỀU 6: VIỆC NỘP LỆ PHÍ CHỨNG THỰC</w:t>
      </w:r>
    </w:p>
    <w:p w14:paraId="149C315C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Lệ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phí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này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do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............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chịu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trách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nhiệm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nộp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.</w:t>
      </w:r>
    </w:p>
    <w:p w14:paraId="471E5729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ĐIỀU 7: PHƯƠNG THỨC GIẢI QUYẾT TRANH CHẤP</w:t>
      </w:r>
    </w:p>
    <w:p w14:paraId="72029755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Trong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quá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trình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phát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sinh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tranh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chấp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cùng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thương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lượng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giải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quyết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nguyên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tắc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tôn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trọng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lợi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nhau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;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trường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thương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lượng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thì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một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hai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khởi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yêu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cầu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toà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án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thẩm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giải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quyết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theo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.</w:t>
      </w:r>
    </w:p>
    <w:p w14:paraId="6874971B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ĐIỀU 8: CAM ĐOAN CỦA CÁC BÊN</w:t>
      </w:r>
    </w:p>
    <w:p w14:paraId="5BD5D121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A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B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chịu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trách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nhiệm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trước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về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những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lời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cam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đoan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sau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đây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:</w:t>
      </w:r>
    </w:p>
    <w:p w14:paraId="34C4D587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1.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giao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kết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này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hoàn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toàn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tự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nguyện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bị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lừa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dối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hoặc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ép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buộc</w:t>
      </w:r>
      <w:proofErr w:type="spellEnd"/>
    </w:p>
    <w:p w14:paraId="7E405D27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2.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đúng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đủ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tất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cả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thỏa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thuận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đã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ghi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này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.</w:t>
      </w:r>
    </w:p>
    <w:p w14:paraId="06429B74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3.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cam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đoan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….</w:t>
      </w:r>
    </w:p>
    <w:p w14:paraId="44527566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b/>
          <w:bCs/>
          <w:color w:val="222222"/>
          <w:sz w:val="26"/>
          <w:szCs w:val="26"/>
        </w:rPr>
        <w:t>ĐIỀU 9: ĐIỀU KHOẢN CUỐI CÙNG</w:t>
      </w:r>
    </w:p>
    <w:p w14:paraId="2A6EB61A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1. Hai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đã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hiểu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rõ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nghĩa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vụ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lợi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ích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mình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ý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nghĩa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hậu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quả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lý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giao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kết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này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.</w:t>
      </w:r>
    </w:p>
    <w:p w14:paraId="744CDA6F" w14:textId="77777777" w:rsidR="00AE33B0" w:rsidRPr="00AE33B0" w:rsidRDefault="00AE33B0" w:rsidP="00AE33B0">
      <w:pPr>
        <w:shd w:val="clear" w:color="auto" w:fill="FAFAFA"/>
        <w:spacing w:before="180" w:after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2. Hai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đã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tự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đọc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đã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hiểu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ý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tất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cả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điều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khoản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ghi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ký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vào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này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trước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mặt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Người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thẩm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.</w:t>
      </w:r>
    </w:p>
    <w:p w14:paraId="4364D01B" w14:textId="77777777" w:rsidR="00AE33B0" w:rsidRPr="00AE33B0" w:rsidRDefault="00AE33B0" w:rsidP="00AE33B0">
      <w:pPr>
        <w:shd w:val="clear" w:color="auto" w:fill="FAFAFA"/>
        <w:spacing w:before="180" w:line="240" w:lineRule="auto"/>
        <w:rPr>
          <w:rFonts w:eastAsia="Times New Roman" w:cs="Times New Roman"/>
          <w:color w:val="222222"/>
          <w:sz w:val="26"/>
          <w:szCs w:val="26"/>
        </w:rPr>
      </w:pPr>
      <w:r w:rsidRPr="00AE33B0">
        <w:rPr>
          <w:rFonts w:eastAsia="Times New Roman" w:cs="Times New Roman"/>
          <w:color w:val="222222"/>
          <w:sz w:val="26"/>
          <w:szCs w:val="26"/>
        </w:rPr>
        <w:t xml:space="preserve">3.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này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hiệu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lực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từ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…………………………………………</w:t>
      </w:r>
    </w:p>
    <w:tbl>
      <w:tblPr>
        <w:tblW w:w="66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3345"/>
      </w:tblGrid>
      <w:tr w:rsidR="00AE33B0" w:rsidRPr="00AE33B0" w14:paraId="58FB4E60" w14:textId="77777777" w:rsidTr="00AE33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907859" w14:textId="77777777" w:rsidR="00AE33B0" w:rsidRPr="00AE33B0" w:rsidRDefault="00AE33B0" w:rsidP="00AE33B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AE33B0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BÊN A</w:t>
            </w:r>
          </w:p>
          <w:p w14:paraId="7A65AE51" w14:textId="77777777" w:rsidR="00AE33B0" w:rsidRPr="00AE33B0" w:rsidRDefault="00AE33B0" w:rsidP="00AE33B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điểm</w:t>
            </w:r>
            <w:proofErr w:type="spellEnd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chỉ</w:t>
            </w:r>
            <w:proofErr w:type="spellEnd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và</w:t>
            </w:r>
            <w:proofErr w:type="spellEnd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ghi</w:t>
            </w:r>
            <w:proofErr w:type="spellEnd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rõ</w:t>
            </w:r>
            <w:proofErr w:type="spellEnd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họ</w:t>
            </w:r>
            <w:proofErr w:type="spellEnd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tên</w:t>
            </w:r>
            <w:proofErr w:type="spellEnd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9DD5E46" w14:textId="77777777" w:rsidR="00AE33B0" w:rsidRPr="00AE33B0" w:rsidRDefault="00AE33B0" w:rsidP="00AE33B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AE33B0">
              <w:rPr>
                <w:rFonts w:eastAsia="Times New Roman" w:cs="Times New Roman"/>
                <w:b/>
                <w:bCs/>
                <w:color w:val="222222"/>
                <w:sz w:val="24"/>
                <w:szCs w:val="24"/>
              </w:rPr>
              <w:t>BÊN B</w:t>
            </w:r>
          </w:p>
          <w:p w14:paraId="2C767F38" w14:textId="77777777" w:rsidR="00AE33B0" w:rsidRPr="00AE33B0" w:rsidRDefault="00AE33B0" w:rsidP="00AE33B0">
            <w:pPr>
              <w:spacing w:before="180" w:after="180" w:line="240" w:lineRule="auto"/>
              <w:jc w:val="center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điểm</w:t>
            </w:r>
            <w:proofErr w:type="spellEnd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chỉ</w:t>
            </w:r>
            <w:proofErr w:type="spellEnd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và</w:t>
            </w:r>
            <w:proofErr w:type="spellEnd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ghi</w:t>
            </w:r>
            <w:proofErr w:type="spellEnd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rõ</w:t>
            </w:r>
            <w:proofErr w:type="spellEnd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họ</w:t>
            </w:r>
            <w:proofErr w:type="spellEnd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tên</w:t>
            </w:r>
            <w:proofErr w:type="spellEnd"/>
            <w:r w:rsidRPr="00AE33B0">
              <w:rPr>
                <w:rFonts w:eastAsia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</w:tc>
      </w:tr>
    </w:tbl>
    <w:p w14:paraId="3BFA9A35" w14:textId="77777777" w:rsidR="00AE33B0" w:rsidRPr="00AE33B0" w:rsidRDefault="00AE33B0" w:rsidP="00AE33B0">
      <w:pPr>
        <w:shd w:val="clear" w:color="auto" w:fill="FFFFFF"/>
        <w:spacing w:before="180" w:line="240" w:lineRule="auto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Lưu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ý: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Mẫu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này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mẫu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chung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dùng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cho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mọi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trường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. Do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đó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với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từng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trường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cụ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điền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thêm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thông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tin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nhân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cùng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với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thỏa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thuận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về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nội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dung/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phạm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vi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thời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hạn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thù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lao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như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AE33B0">
        <w:rPr>
          <w:rFonts w:eastAsia="Times New Roman" w:cs="Times New Roman"/>
          <w:color w:val="222222"/>
          <w:sz w:val="26"/>
          <w:szCs w:val="26"/>
        </w:rPr>
        <w:t>mẫu</w:t>
      </w:r>
      <w:proofErr w:type="spellEnd"/>
      <w:r w:rsidRPr="00AE33B0">
        <w:rPr>
          <w:rFonts w:eastAsia="Times New Roman" w:cs="Times New Roman"/>
          <w:color w:val="222222"/>
          <w:sz w:val="26"/>
          <w:szCs w:val="26"/>
        </w:rPr>
        <w:t>.</w:t>
      </w:r>
    </w:p>
    <w:p w14:paraId="0796B467" w14:textId="77777777" w:rsidR="00C1106D" w:rsidRDefault="00C1106D"/>
    <w:sectPr w:rsidR="00C11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91DBB"/>
    <w:multiLevelType w:val="multilevel"/>
    <w:tmpl w:val="A740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E71BD"/>
    <w:multiLevelType w:val="multilevel"/>
    <w:tmpl w:val="4D70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B5252"/>
    <w:multiLevelType w:val="multilevel"/>
    <w:tmpl w:val="9C98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69196D"/>
    <w:multiLevelType w:val="multilevel"/>
    <w:tmpl w:val="4916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B0"/>
    <w:rsid w:val="00AE33B0"/>
    <w:rsid w:val="00C1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6E1C90"/>
  <w15:chartTrackingRefBased/>
  <w15:docId w15:val="{3496871C-0AD9-4580-AC9D-B541CD95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33B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E33B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E33B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3B0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E33B0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E33B0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E33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E33B0"/>
    <w:rPr>
      <w:b/>
      <w:bCs/>
    </w:rPr>
  </w:style>
  <w:style w:type="character" w:customStyle="1" w:styleId="toc-title">
    <w:name w:val="toc-title"/>
    <w:basedOn w:val="DefaultParagraphFont"/>
    <w:rsid w:val="00AE33B0"/>
  </w:style>
  <w:style w:type="character" w:customStyle="1" w:styleId="toc-show">
    <w:name w:val="toc-show"/>
    <w:basedOn w:val="DefaultParagraphFont"/>
    <w:rsid w:val="00AE33B0"/>
  </w:style>
  <w:style w:type="paragraph" w:customStyle="1" w:styleId="toclevel-4">
    <w:name w:val="toclevel-4"/>
    <w:basedOn w:val="Normal"/>
    <w:rsid w:val="00AE33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toctext">
    <w:name w:val="toctext"/>
    <w:basedOn w:val="DefaultParagraphFont"/>
    <w:rsid w:val="00AE33B0"/>
  </w:style>
  <w:style w:type="paragraph" w:customStyle="1" w:styleId="toclevel-5">
    <w:name w:val="toclevel-5"/>
    <w:basedOn w:val="Normal"/>
    <w:rsid w:val="00AE33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E33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3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703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5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118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8705">
              <w:marLeft w:val="0"/>
              <w:marRight w:val="0"/>
              <w:marTop w:val="240"/>
              <w:marBottom w:val="240"/>
              <w:divBdr>
                <w:top w:val="single" w:sz="6" w:space="9" w:color="E0E0E0"/>
                <w:left w:val="single" w:sz="6" w:space="12" w:color="E0E0E0"/>
                <w:bottom w:val="single" w:sz="6" w:space="9" w:color="E0E0E0"/>
                <w:right w:val="single" w:sz="6" w:space="12" w:color="E0E0E0"/>
              </w:divBdr>
              <w:divsChild>
                <w:div w:id="9322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883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0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39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C6CFD0"/>
                        <w:left w:val="single" w:sz="6" w:space="18" w:color="C6CFD0"/>
                        <w:bottom w:val="single" w:sz="6" w:space="12" w:color="C6CFD0"/>
                        <w:right w:val="single" w:sz="6" w:space="18" w:color="C6CFD0"/>
                      </w:divBdr>
                      <w:divsChild>
                        <w:div w:id="90230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47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luatvietnam.vn/uploaded/Others/2023/09/24/mau-hop-dong-uy-quyen_1009172841_2409010920.doc" TargetMode="External"/><Relationship Id="rId5" Type="http://schemas.openxmlformats.org/officeDocument/2006/relationships/hyperlink" Target="https://luatvietnam.vn/thue/thong-tu-257-2016-tt-btc-bo-tai-chinh-110962-d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1451</Words>
  <Characters>8275</Characters>
  <Application>Microsoft Office Word</Application>
  <DocSecurity>0</DocSecurity>
  <Lines>68</Lines>
  <Paragraphs>19</Paragraphs>
  <ScaleCrop>false</ScaleCrop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Anh</dc:creator>
  <cp:keywords/>
  <dc:description/>
  <cp:lastModifiedBy>Hoang Anh</cp:lastModifiedBy>
  <cp:revision>1</cp:revision>
  <dcterms:created xsi:type="dcterms:W3CDTF">2023-09-26T02:54:00Z</dcterms:created>
  <dcterms:modified xsi:type="dcterms:W3CDTF">2023-09-26T02:56:00Z</dcterms:modified>
</cp:coreProperties>
</file>