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4B" w:rsidRPr="00567B4B" w:rsidRDefault="00567B4B" w:rsidP="00567B4B">
      <w:pPr>
        <w:shd w:val="clear" w:color="auto" w:fill="FFFFFF"/>
        <w:spacing w:before="150" w:after="150" w:line="450" w:lineRule="atLeast"/>
        <w:jc w:val="center"/>
        <w:outlineLvl w:val="0"/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</w:pPr>
      <w:proofErr w:type="spellStart"/>
      <w:proofErr w:type="gram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Bao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nhiêu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tuổi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được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làm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Căn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cước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công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dân</w:t>
      </w:r>
      <w:proofErr w:type="spellEnd"/>
      <w:r w:rsidRPr="00567B4B">
        <w:rPr>
          <w:rFonts w:eastAsia="Times New Roman" w:cs="Times New Roman"/>
          <w:b/>
          <w:color w:val="222222"/>
          <w:kern w:val="36"/>
          <w:sz w:val="40"/>
          <w:szCs w:val="40"/>
          <w:u w:val="single"/>
          <w:lang w:eastAsia="en-GB"/>
        </w:rPr>
        <w:t>?</w:t>
      </w:r>
      <w:proofErr w:type="gramEnd"/>
    </w:p>
    <w:p w:rsidR="00502EE0" w:rsidRDefault="00502EE0" w:rsidP="00502EE0">
      <w:pPr>
        <w:shd w:val="clear" w:color="auto" w:fill="FFFFFF"/>
        <w:spacing w:after="0" w:line="330" w:lineRule="atLeast"/>
        <w:ind w:firstLine="720"/>
        <w:jc w:val="right"/>
        <w:rPr>
          <w:rFonts w:eastAsia="Times New Roman" w:cs="Times New Roman"/>
          <w:bCs/>
          <w:i/>
          <w:color w:val="222222"/>
          <w:szCs w:val="28"/>
          <w:lang w:eastAsia="en-GB"/>
        </w:rPr>
      </w:pPr>
      <w:r>
        <w:rPr>
          <w:rFonts w:eastAsia="Times New Roman" w:cs="Times New Roman"/>
          <w:bCs/>
          <w:i/>
          <w:color w:val="222222"/>
          <w:szCs w:val="28"/>
          <w:lang w:eastAsia="en-GB"/>
        </w:rPr>
        <w:t>(</w:t>
      </w:r>
      <w:proofErr w:type="spellStart"/>
      <w:proofErr w:type="gramStart"/>
      <w:r>
        <w:rPr>
          <w:rFonts w:eastAsia="Times New Roman" w:cs="Times New Roman"/>
          <w:bCs/>
          <w:i/>
          <w:color w:val="222222"/>
          <w:szCs w:val="28"/>
          <w:lang w:eastAsia="en-GB"/>
        </w:rPr>
        <w:t>commen</w:t>
      </w:r>
      <w:proofErr w:type="spellEnd"/>
      <w:proofErr w:type="gramEnd"/>
      <w:r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by </w:t>
      </w:r>
      <w:proofErr w:type="spellStart"/>
      <w:r>
        <w:rPr>
          <w:rFonts w:eastAsia="Times New Roman" w:cs="Times New Roman"/>
          <w:bCs/>
          <w:i/>
          <w:color w:val="222222"/>
          <w:szCs w:val="28"/>
          <w:lang w:eastAsia="en-GB"/>
        </w:rPr>
        <w:t>phan</w:t>
      </w:r>
      <w:proofErr w:type="spellEnd"/>
      <w:r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>
        <w:rPr>
          <w:rFonts w:eastAsia="Times New Roman" w:cs="Times New Roman"/>
          <w:bCs/>
          <w:i/>
          <w:color w:val="222222"/>
          <w:szCs w:val="28"/>
          <w:lang w:eastAsia="en-GB"/>
        </w:rPr>
        <w:t>ngoc</w:t>
      </w:r>
      <w:proofErr w:type="spellEnd"/>
      <w:r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loan 14/6/2022)</w:t>
      </w:r>
    </w:p>
    <w:p w:rsidR="00567B4B" w:rsidRPr="00567B4B" w:rsidRDefault="00567B4B" w:rsidP="00567B4B">
      <w:pPr>
        <w:shd w:val="clear" w:color="auto" w:fill="FFFFFF"/>
        <w:spacing w:after="0" w:line="330" w:lineRule="atLeast"/>
        <w:ind w:firstLine="720"/>
        <w:jc w:val="both"/>
        <w:rPr>
          <w:rFonts w:eastAsia="Times New Roman" w:cs="Times New Roman"/>
          <w:bCs/>
          <w:i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là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loại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giấy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tờ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chứng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minh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nhân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thân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quan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trọng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được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sử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dụng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trong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hầu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hết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các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giao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dịch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và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thủ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tục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bookmarkStart w:id="0" w:name="_GoBack"/>
      <w:bookmarkEnd w:id="0"/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chính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tại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Việt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Nam. </w:t>
      </w:r>
      <w:proofErr w:type="spellStart"/>
      <w:proofErr w:type="gram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Vậy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bao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 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nhiêu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được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Cs/>
          <w:i/>
          <w:color w:val="222222"/>
          <w:szCs w:val="28"/>
          <w:lang w:eastAsia="en-GB"/>
        </w:rPr>
        <w:t>?</w:t>
      </w:r>
      <w:proofErr w:type="gramEnd"/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222222"/>
          <w:szCs w:val="28"/>
          <w:lang w:eastAsia="en-GB"/>
        </w:rPr>
      </w:pPr>
      <w:r w:rsidRPr="00567B4B">
        <w:rPr>
          <w:rFonts w:eastAsia="Times New Roman" w:cs="Times New Roman"/>
          <w:i/>
          <w:color w:val="222222"/>
          <w:szCs w:val="28"/>
          <w:lang w:eastAsia="en-GB"/>
        </w:rPr>
        <w:t> 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Độ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được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dân</w:t>
      </w:r>
      <w:proofErr w:type="spellEnd"/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Điều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19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Luật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2014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rõ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: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szCs w:val="28"/>
          <w:lang w:eastAsia="en-GB"/>
        </w:rPr>
      </w:pPr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1.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Việt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Nam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từ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đủ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14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được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szCs w:val="28"/>
          <w:lang w:eastAsia="en-GB"/>
        </w:rPr>
      </w:pPr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2.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Số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là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số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danh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cá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nhân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Như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vậy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từ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đủ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14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được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Đồng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cứ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theo</w:t>
      </w:r>
      <w:proofErr w:type="spellEnd"/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Điều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5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tư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59/2019/TT-BTC,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lần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đầu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sẽ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phải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nộp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lệ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phí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cứ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Điều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21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Luật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chỉ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hiệu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lực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trong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một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khoảng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gian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nhất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.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lần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đầu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hiệu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lực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đến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đủ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25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thì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phải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lại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. </w:t>
      </w: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Tương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tự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các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lần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sau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sẽ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phải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lại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vào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năm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đủ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40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60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  <w:proofErr w:type="gramEnd"/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được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/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/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lại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trong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hạn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02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năm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độ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như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trên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thì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vẫn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giá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sử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dụng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đến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tiếp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theo</w:t>
      </w:r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  <w:proofErr w:type="spellEnd"/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Luật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yêu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cầu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bắt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buộc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phải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ngay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14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. </w:t>
      </w: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Tuy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nhiên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đủ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nên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sắp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xếp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gian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sớm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nhất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để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thủ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tục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  <w:proofErr w:type="gramEnd"/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Đủ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nhưng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phạt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hay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bắt</w:t>
      </w:r>
      <w:proofErr w:type="spellEnd"/>
      <w:r w:rsidRPr="00567B4B">
        <w:rPr>
          <w:rFonts w:eastAsia="Times New Roman" w:cs="Times New Roman"/>
          <w:b/>
          <w:bCs/>
          <w:color w:val="222222"/>
          <w:szCs w:val="28"/>
          <w:lang w:eastAsia="en-GB"/>
        </w:rPr>
        <w:t>? 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Làm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đủ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tuổi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vừa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quyền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vừa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nghĩa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vụ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của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mỗi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Bởi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lẽ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loại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giấy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tờ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chứng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minh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quan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trọng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được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sử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dụng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trong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hầu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hết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các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giao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dịch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thủ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tục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chính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tại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Việt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Nam.</w:t>
      </w:r>
      <w:proofErr w:type="gramEnd"/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Để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quản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lý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việc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sử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dụng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Điều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10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Nghị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144/2021/NĐ-CP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: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szCs w:val="28"/>
          <w:lang w:eastAsia="en-GB"/>
        </w:rPr>
      </w:pPr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1. 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Phạt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cảnh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cáo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hoặc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phạt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tiền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từ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300.000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đồng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đến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500.000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đồng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 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đối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với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một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trong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những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gram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vi</w:t>
      </w:r>
      <w:proofErr w:type="gram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sau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đây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: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szCs w:val="28"/>
          <w:lang w:eastAsia="en-GB"/>
        </w:rPr>
      </w:pPr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a)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xuất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trình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Giấy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chứng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minh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nhân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Chứng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minh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nhân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hoặc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Giấy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xác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nhận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số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Chứng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minh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nhân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khi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yêu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cầu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kiểm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tra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của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thẩm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quyền</w:t>
      </w:r>
      <w:proofErr w:type="spellEnd"/>
      <w:r w:rsidRPr="00567B4B">
        <w:rPr>
          <w:rFonts w:eastAsia="Times New Roman" w:cs="Times New Roman"/>
          <w:b/>
          <w:bCs/>
          <w:i/>
          <w:iCs/>
          <w:color w:val="222222"/>
          <w:szCs w:val="28"/>
          <w:lang w:eastAsia="en-GB"/>
        </w:rPr>
        <w:t>;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szCs w:val="28"/>
          <w:lang w:eastAsia="en-GB"/>
        </w:rPr>
      </w:pPr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b)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thực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hiện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đúng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quy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của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pháp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luật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về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đổi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cấp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lại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thẻ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i/>
          <w:iCs/>
          <w:color w:val="222222"/>
          <w:szCs w:val="28"/>
          <w:lang w:eastAsia="en-GB"/>
        </w:rPr>
        <w:t>…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Theo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trên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yêu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cầu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kiểm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của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thẩm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quyền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nhưng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/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Chứng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minh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kiểm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thể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phạt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cảnh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cáo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hoặc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phạt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tiền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đến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500.000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đồng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  <w:proofErr w:type="gramEnd"/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các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kiểm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chỉ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xảy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ra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vi</w:t>
      </w:r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phạm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pháp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luật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hay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ngờ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vi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phạm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lastRenderedPageBreak/>
        <w:t>Ngoài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ra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một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số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rằng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kiểm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nhưng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thì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sẽ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“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bắt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” -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tạm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giữ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chính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. </w:t>
      </w: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Đây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nhận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chủ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quan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chính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xác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  <w:proofErr w:type="gramEnd"/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r w:rsidRPr="00567B4B">
        <w:rPr>
          <w:rFonts w:eastAsia="Times New Roman" w:cs="Times New Roman"/>
          <w:color w:val="222222"/>
          <w:szCs w:val="28"/>
          <w:lang w:eastAsia="en-GB"/>
        </w:rPr>
        <w:t>Theo 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Điều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16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Nghị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142/2021/NĐ-CP,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chỉ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có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 05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tạm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giữ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chính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 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: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-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cần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chặn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đình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chỉ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ngay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vi</w:t>
      </w:r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gây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rối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trật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tự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gây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thương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tích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khác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-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cần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chặn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đình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chỉ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ngay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vi</w:t>
      </w:r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buôn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lậu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hoặc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vận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chuyển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trái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phép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hóa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qua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biên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giới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-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quyết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đưa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vào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giáo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dưỡng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/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cơ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sở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giáo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dục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bắt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buộc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/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cơ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sở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cai</w:t>
      </w:r>
      <w:proofErr w:type="spellEnd"/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nghiện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bắt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buộc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-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vi</w:t>
      </w:r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phạm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quyết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cấm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tiếp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xúc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theo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quy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của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pháp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luật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về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phòng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chống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bạo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lực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gia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đình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-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xác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định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tình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trạng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nghiện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ma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túy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đối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với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sử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dụng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trái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phép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chất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ma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túy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</w:p>
    <w:p w:rsidR="00567B4B" w:rsidRPr="00567B4B" w:rsidRDefault="00567B4B" w:rsidP="00567B4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  <w:lang w:eastAsia="en-GB"/>
        </w:rPr>
      </w:pP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Như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vậy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ngoài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các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trường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hợp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nêu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trên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,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người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mang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Căn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cước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dân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sẽ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không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bị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tạm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giữ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hành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chính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mà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công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gramStart"/>
      <w:r w:rsidRPr="00567B4B">
        <w:rPr>
          <w:rFonts w:eastAsia="Times New Roman" w:cs="Times New Roman"/>
          <w:color w:val="222222"/>
          <w:szCs w:val="28"/>
          <w:lang w:eastAsia="en-GB"/>
        </w:rPr>
        <w:t>an</w:t>
      </w:r>
      <w:proofErr w:type="gram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chỉ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mời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về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để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xác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minh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nhân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 xml:space="preserve"> </w:t>
      </w:r>
      <w:proofErr w:type="spellStart"/>
      <w:r w:rsidRPr="00567B4B">
        <w:rPr>
          <w:rFonts w:eastAsia="Times New Roman" w:cs="Times New Roman"/>
          <w:color w:val="222222"/>
          <w:szCs w:val="28"/>
          <w:lang w:eastAsia="en-GB"/>
        </w:rPr>
        <w:t>thân</w:t>
      </w:r>
      <w:proofErr w:type="spellEnd"/>
      <w:r w:rsidRPr="00567B4B">
        <w:rPr>
          <w:rFonts w:eastAsia="Times New Roman" w:cs="Times New Roman"/>
          <w:color w:val="222222"/>
          <w:szCs w:val="28"/>
          <w:lang w:eastAsia="en-GB"/>
        </w:rPr>
        <w:t>.</w:t>
      </w:r>
    </w:p>
    <w:p w:rsidR="008A62A9" w:rsidRPr="00567B4B" w:rsidRDefault="008A62A9" w:rsidP="00567B4B">
      <w:pPr>
        <w:jc w:val="both"/>
        <w:rPr>
          <w:rFonts w:cs="Times New Roman"/>
          <w:szCs w:val="28"/>
        </w:rPr>
      </w:pPr>
    </w:p>
    <w:sectPr w:rsidR="008A62A9" w:rsidRPr="00567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4B"/>
    <w:rsid w:val="00502EE0"/>
    <w:rsid w:val="00567B4B"/>
    <w:rsid w:val="008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B4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67B4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4B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67B4B"/>
    <w:rPr>
      <w:rFonts w:eastAsia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67B4B"/>
    <w:rPr>
      <w:color w:val="0000FF"/>
      <w:u w:val="single"/>
    </w:rPr>
  </w:style>
  <w:style w:type="character" w:customStyle="1" w:styleId="text-author">
    <w:name w:val="text-author"/>
    <w:basedOn w:val="DefaultParagraphFont"/>
    <w:rsid w:val="00567B4B"/>
  </w:style>
  <w:style w:type="paragraph" w:styleId="NormalWeb">
    <w:name w:val="Normal (Web)"/>
    <w:basedOn w:val="Normal"/>
    <w:uiPriority w:val="99"/>
    <w:semiHidden/>
    <w:unhideWhenUsed/>
    <w:rsid w:val="00567B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7B4B"/>
    <w:rPr>
      <w:b/>
      <w:bCs/>
    </w:rPr>
  </w:style>
  <w:style w:type="character" w:styleId="Emphasis">
    <w:name w:val="Emphasis"/>
    <w:basedOn w:val="DefaultParagraphFont"/>
    <w:uiPriority w:val="20"/>
    <w:qFormat/>
    <w:rsid w:val="00567B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B4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67B4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4B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67B4B"/>
    <w:rPr>
      <w:rFonts w:eastAsia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67B4B"/>
    <w:rPr>
      <w:color w:val="0000FF"/>
      <w:u w:val="single"/>
    </w:rPr>
  </w:style>
  <w:style w:type="character" w:customStyle="1" w:styleId="text-author">
    <w:name w:val="text-author"/>
    <w:basedOn w:val="DefaultParagraphFont"/>
    <w:rsid w:val="00567B4B"/>
  </w:style>
  <w:style w:type="paragraph" w:styleId="NormalWeb">
    <w:name w:val="Normal (Web)"/>
    <w:basedOn w:val="Normal"/>
    <w:uiPriority w:val="99"/>
    <w:semiHidden/>
    <w:unhideWhenUsed/>
    <w:rsid w:val="00567B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7B4B"/>
    <w:rPr>
      <w:b/>
      <w:bCs/>
    </w:rPr>
  </w:style>
  <w:style w:type="character" w:styleId="Emphasis">
    <w:name w:val="Emphasis"/>
    <w:basedOn w:val="DefaultParagraphFont"/>
    <w:uiPriority w:val="20"/>
    <w:qFormat/>
    <w:rsid w:val="00567B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6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988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5465">
                  <w:blockQuote w:val="1"/>
                  <w:marLeft w:val="45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36" w:space="15" w:color="CCCCCC"/>
                    <w:bottom w:val="single" w:sz="2" w:space="2" w:color="CCCCCC"/>
                    <w:right w:val="single" w:sz="2" w:space="6" w:color="CCCCCC"/>
                  </w:divBdr>
                </w:div>
                <w:div w:id="1365867127">
                  <w:blockQuote w:val="1"/>
                  <w:marLeft w:val="45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36" w:space="15" w:color="CCCCCC"/>
                    <w:bottom w:val="single" w:sz="2" w:space="2" w:color="CCCCCC"/>
                    <w:right w:val="single" w:sz="2" w:space="6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Loan</dc:creator>
  <cp:lastModifiedBy>Mrs Loan</cp:lastModifiedBy>
  <cp:revision>2</cp:revision>
  <dcterms:created xsi:type="dcterms:W3CDTF">2022-05-23T00:23:00Z</dcterms:created>
  <dcterms:modified xsi:type="dcterms:W3CDTF">2022-06-14T09:14:00Z</dcterms:modified>
</cp:coreProperties>
</file>