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100" w:afterAutospacing="1" w:line="240" w:lineRule="auto"/>
        <w:jc w:val="both"/>
        <w:outlineLvl w:val="0"/>
        <w:rPr>
          <w:rFonts w:eastAsia="Times New Roman" w:cs="Times New Roman"/>
          <w:b/>
          <w:bCs/>
          <w:color w:val="026896"/>
          <w:kern w:val="36"/>
          <w:szCs w:val="28"/>
          <w:lang w:eastAsia="en-GB"/>
        </w:rPr>
      </w:pPr>
      <w:r>
        <w:rPr>
          <w:rFonts w:eastAsia="Times New Roman" w:cs="Times New Roman"/>
          <w:b/>
          <w:bCs/>
          <w:color w:val="026896"/>
          <w:kern w:val="36"/>
          <w:szCs w:val="28"/>
          <w:lang w:eastAsia="en-GB"/>
        </w:rPr>
        <w:t>Người hoạt động không chuyên trách ở thôn, tổ dân phố gồm những ai? Mức phụ cấp mới nhất năm 2023 ra sao?</w:t>
      </w:r>
    </w:p>
    <w:p>
      <w:pPr>
        <w:spacing w:after="100" w:afterAutospacing="1" w:line="255" w:lineRule="atLeast"/>
        <w:jc w:val="both"/>
        <w:outlineLvl w:val="1"/>
        <w:rPr>
          <w:rFonts w:eastAsia="Times New Roman" w:cs="Times New Roman"/>
          <w:szCs w:val="28"/>
          <w:lang w:eastAsia="en-GB"/>
        </w:rPr>
      </w:pPr>
      <w:r>
        <w:rPr>
          <w:rFonts w:eastAsia="Times New Roman" w:cs="Times New Roman"/>
          <w:b/>
          <w:bCs/>
          <w:szCs w:val="28"/>
          <w:lang w:eastAsia="en-GB"/>
        </w:rPr>
        <w:t>Người hoạt động không chuyên trách ở thôn, tổ dân phố gồm những ai?</w:t>
      </w:r>
    </w:p>
    <w:p>
      <w:pPr>
        <w:spacing w:after="100" w:afterAutospacing="1" w:line="240" w:lineRule="auto"/>
        <w:jc w:val="both"/>
        <w:rPr>
          <w:rFonts w:eastAsia="Times New Roman" w:cs="Times New Roman"/>
          <w:szCs w:val="28"/>
          <w:lang w:eastAsia="en-GB"/>
        </w:rPr>
      </w:pPr>
      <w:r>
        <w:rPr>
          <w:rFonts w:eastAsia="Times New Roman" w:cs="Times New Roman"/>
          <w:szCs w:val="28"/>
          <w:lang w:eastAsia="en-GB"/>
        </w:rPr>
        <w:t>Căn cứ quy định tại khoản 6 Điều 33 </w:t>
      </w:r>
      <w:hyperlink r:id="rId6" w:tgtFrame="_blank" w:history="1">
        <w:r>
          <w:rPr>
            <w:rFonts w:eastAsia="Times New Roman" w:cs="Times New Roman"/>
            <w:color w:val="0E70A4"/>
            <w:szCs w:val="28"/>
            <w:u w:val="single"/>
            <w:lang w:eastAsia="en-GB"/>
          </w:rPr>
          <w:t>Nghị định 33/2023/NĐ-CP</w:t>
        </w:r>
      </w:hyperlink>
      <w:r>
        <w:rPr>
          <w:rFonts w:eastAsia="Times New Roman" w:cs="Times New Roman"/>
          <w:szCs w:val="28"/>
          <w:lang w:eastAsia="en-GB"/>
        </w:rPr>
        <w:t> như sau:</w:t>
      </w:r>
    </w:p>
    <w:p>
      <w:pPr>
        <w:spacing w:after="75" w:line="240" w:lineRule="auto"/>
        <w:jc w:val="both"/>
        <w:rPr>
          <w:rFonts w:eastAsia="Times New Roman" w:cs="Times New Roman"/>
          <w:szCs w:val="28"/>
          <w:lang w:eastAsia="en-GB"/>
        </w:rPr>
      </w:pPr>
      <w:r>
        <w:rPr>
          <w:rFonts w:eastAsia="Times New Roman" w:cs="Times New Roman"/>
          <w:b/>
          <w:bCs/>
          <w:i/>
          <w:iCs/>
          <w:szCs w:val="28"/>
          <w:lang w:eastAsia="en-GB"/>
        </w:rPr>
        <w:t>Chế độ phụ cấp đối với người hoạt động không chuyên trách ở cấp xã, ở thôn, tổ dân phố</w:t>
      </w:r>
    </w:p>
    <w:p>
      <w:pPr>
        <w:spacing w:after="75" w:line="240" w:lineRule="auto"/>
        <w:jc w:val="both"/>
        <w:rPr>
          <w:rFonts w:eastAsia="Times New Roman" w:cs="Times New Roman"/>
          <w:szCs w:val="28"/>
          <w:lang w:eastAsia="en-GB"/>
        </w:rPr>
      </w:pPr>
      <w:r>
        <w:rPr>
          <w:rFonts w:eastAsia="Times New Roman" w:cs="Times New Roman"/>
          <w:i/>
          <w:iCs/>
          <w:szCs w:val="28"/>
          <w:lang w:eastAsia="en-GB"/>
        </w:rPr>
        <w:t>...</w:t>
      </w:r>
    </w:p>
    <w:p>
      <w:pPr>
        <w:spacing w:after="75" w:line="240" w:lineRule="auto"/>
        <w:jc w:val="both"/>
        <w:rPr>
          <w:rFonts w:eastAsia="Times New Roman" w:cs="Times New Roman"/>
          <w:szCs w:val="28"/>
          <w:lang w:eastAsia="en-GB"/>
        </w:rPr>
      </w:pPr>
      <w:r>
        <w:rPr>
          <w:rFonts w:eastAsia="Times New Roman" w:cs="Times New Roman"/>
          <w:i/>
          <w:iCs/>
          <w:szCs w:val="28"/>
          <w:lang w:eastAsia="en-GB"/>
        </w:rPr>
        <w:t>6. Người hoạt động không chuyên trách ở thôn, tổ dân phố có không quá 03 chức danh (bao gồm Bí thư chi bộ, Trưởng thôn hoặc Tổ trưởng tổ dân phố, Trưởng Ban công tác Mặt trận) được hưởng phụ cấp hàng tháng. Trường hợp Luật có quy định khác thì thực hiện theo quy định của luật đó.</w:t>
      </w:r>
    </w:p>
    <w:p>
      <w:pPr>
        <w:spacing w:after="75" w:line="240" w:lineRule="auto"/>
        <w:jc w:val="both"/>
        <w:rPr>
          <w:rFonts w:eastAsia="Times New Roman" w:cs="Times New Roman"/>
          <w:szCs w:val="28"/>
          <w:lang w:eastAsia="en-GB"/>
        </w:rPr>
      </w:pPr>
      <w:r>
        <w:rPr>
          <w:rFonts w:eastAsia="Times New Roman" w:cs="Times New Roman"/>
          <w:i/>
          <w:iCs/>
          <w:szCs w:val="28"/>
          <w:lang w:eastAsia="en-GB"/>
        </w:rPr>
        <w:t>Khuyến khích việc kiêm nhiệm chức danh Bí thư Chi bộ đồng thời là Trưởng thôn, Tổ trưởng tổ dân phố hoặc Trưởng Ban công tác Mặt trận thôn, tổ dân phố.</w:t>
      </w:r>
    </w:p>
    <w:p>
      <w:pPr>
        <w:spacing w:before="375" w:after="100" w:afterAutospacing="1" w:line="240" w:lineRule="auto"/>
        <w:jc w:val="both"/>
        <w:rPr>
          <w:rFonts w:eastAsia="Times New Roman" w:cs="Times New Roman"/>
          <w:szCs w:val="28"/>
          <w:lang w:eastAsia="en-GB"/>
        </w:rPr>
      </w:pPr>
      <w:r>
        <w:rPr>
          <w:rFonts w:eastAsia="Times New Roman" w:cs="Times New Roman"/>
          <w:szCs w:val="28"/>
          <w:lang w:eastAsia="en-GB"/>
        </w:rPr>
        <w:t>Như vậy, người hoạt động không chuyên trách ở thôn, tổ dân phố bao gồm:</w:t>
      </w:r>
    </w:p>
    <w:p>
      <w:pPr>
        <w:spacing w:after="100" w:afterAutospacing="1" w:line="240" w:lineRule="auto"/>
        <w:jc w:val="both"/>
        <w:rPr>
          <w:rFonts w:eastAsia="Times New Roman" w:cs="Times New Roman"/>
          <w:szCs w:val="28"/>
          <w:lang w:eastAsia="en-GB"/>
        </w:rPr>
      </w:pPr>
      <w:r>
        <w:rPr>
          <w:rFonts w:eastAsia="Times New Roman" w:cs="Times New Roman"/>
          <w:szCs w:val="28"/>
          <w:lang w:eastAsia="en-GB"/>
        </w:rPr>
        <w:t>- Bí thư chi bộ;</w:t>
      </w:r>
    </w:p>
    <w:p>
      <w:pPr>
        <w:spacing w:after="100" w:afterAutospacing="1" w:line="240" w:lineRule="auto"/>
        <w:jc w:val="both"/>
        <w:rPr>
          <w:rFonts w:eastAsia="Times New Roman" w:cs="Times New Roman"/>
          <w:szCs w:val="28"/>
          <w:lang w:eastAsia="en-GB"/>
        </w:rPr>
      </w:pPr>
      <w:r>
        <w:rPr>
          <w:rFonts w:eastAsia="Times New Roman" w:cs="Times New Roman"/>
          <w:szCs w:val="28"/>
          <w:lang w:eastAsia="en-GB"/>
        </w:rPr>
        <w:t>- Trưởng thôn hoặc Tổ trưởng tổ dân phố;</w:t>
      </w:r>
    </w:p>
    <w:p>
      <w:pPr>
        <w:spacing w:after="100" w:afterAutospacing="1" w:line="240" w:lineRule="auto"/>
        <w:jc w:val="both"/>
        <w:rPr>
          <w:rFonts w:eastAsia="Times New Roman" w:cs="Times New Roman"/>
          <w:szCs w:val="28"/>
          <w:lang w:eastAsia="en-GB"/>
        </w:rPr>
      </w:pPr>
      <w:r>
        <w:rPr>
          <w:rFonts w:eastAsia="Times New Roman" w:cs="Times New Roman"/>
          <w:szCs w:val="28"/>
          <w:lang w:eastAsia="en-GB"/>
        </w:rPr>
        <w:t>- Trưởng Ban công tác Mặt trận.</w:t>
      </w:r>
    </w:p>
    <w:p>
      <w:pPr>
        <w:spacing w:after="100" w:afterAutospacing="1" w:line="240" w:lineRule="auto"/>
        <w:jc w:val="both"/>
        <w:rPr>
          <w:rFonts w:eastAsia="Times New Roman" w:cs="Times New Roman"/>
          <w:szCs w:val="28"/>
          <w:lang w:eastAsia="en-GB"/>
        </w:rPr>
      </w:pPr>
      <w:r>
        <w:rPr>
          <w:rFonts w:eastAsia="Times New Roman" w:cs="Times New Roman"/>
          <w:szCs w:val="28"/>
          <w:lang w:eastAsia="en-GB"/>
        </w:rPr>
        <w:t>Theo đó, những người này được hưởng phụ cấp hàng tháng theo quy định pháp luật.</w:t>
      </w:r>
    </w:p>
    <w:p>
      <w:pPr>
        <w:spacing w:after="100" w:afterAutospacing="1" w:line="255" w:lineRule="atLeast"/>
        <w:jc w:val="both"/>
        <w:outlineLvl w:val="1"/>
        <w:rPr>
          <w:rFonts w:eastAsia="Times New Roman" w:cs="Times New Roman"/>
          <w:szCs w:val="28"/>
          <w:lang w:eastAsia="en-GB"/>
        </w:rPr>
      </w:pPr>
      <w:r>
        <w:rPr>
          <w:rFonts w:eastAsia="Times New Roman" w:cs="Times New Roman"/>
          <w:b/>
          <w:bCs/>
          <w:szCs w:val="28"/>
          <w:lang w:eastAsia="en-GB"/>
        </w:rPr>
        <w:t>Mức phụ cấp của người hoạt động không chuyên trách ở thôn, tổ dân phố mới nhất ra sao?</w:t>
      </w:r>
    </w:p>
    <w:p>
      <w:pPr>
        <w:spacing w:after="100" w:afterAutospacing="1" w:line="240" w:lineRule="auto"/>
        <w:jc w:val="both"/>
        <w:rPr>
          <w:rFonts w:eastAsia="Times New Roman" w:cs="Times New Roman"/>
          <w:szCs w:val="28"/>
          <w:lang w:eastAsia="en-GB"/>
        </w:rPr>
      </w:pPr>
      <w:r>
        <w:rPr>
          <w:rFonts w:eastAsia="Times New Roman" w:cs="Times New Roman"/>
          <w:szCs w:val="28"/>
          <w:lang w:eastAsia="en-GB"/>
        </w:rPr>
        <w:t>Căn cứ quy định tại khoản 2 Điều 34 </w:t>
      </w:r>
      <w:hyperlink r:id="rId7" w:tgtFrame="_blank" w:history="1">
        <w:r>
          <w:rPr>
            <w:rFonts w:eastAsia="Times New Roman" w:cs="Times New Roman"/>
            <w:color w:val="0E70A4"/>
            <w:szCs w:val="28"/>
            <w:u w:val="single"/>
            <w:lang w:eastAsia="en-GB"/>
          </w:rPr>
          <w:t>Nghị định 33/2023/NĐ-CP</w:t>
        </w:r>
      </w:hyperlink>
      <w:r>
        <w:rPr>
          <w:rFonts w:eastAsia="Times New Roman" w:cs="Times New Roman"/>
          <w:szCs w:val="28"/>
          <w:lang w:eastAsia="en-GB"/>
        </w:rPr>
        <w:t> như sau:</w:t>
      </w:r>
    </w:p>
    <w:p>
      <w:pPr>
        <w:spacing w:after="75" w:line="240" w:lineRule="auto"/>
        <w:jc w:val="both"/>
        <w:rPr>
          <w:rFonts w:eastAsia="Times New Roman" w:cs="Times New Roman"/>
          <w:szCs w:val="28"/>
          <w:lang w:eastAsia="en-GB"/>
        </w:rPr>
      </w:pPr>
      <w:r>
        <w:rPr>
          <w:rFonts w:eastAsia="Times New Roman" w:cs="Times New Roman"/>
          <w:b/>
          <w:bCs/>
          <w:i/>
          <w:iCs/>
          <w:szCs w:val="28"/>
          <w:lang w:eastAsia="en-GB"/>
        </w:rPr>
        <w:t>Chế độ phụ cấp đối với người hoạt động không chuyên trách ở cấp xã, ở thôn, tổ dân phố</w:t>
      </w:r>
    </w:p>
    <w:p>
      <w:pPr>
        <w:spacing w:after="75" w:line="240" w:lineRule="auto"/>
        <w:jc w:val="both"/>
        <w:rPr>
          <w:rFonts w:eastAsia="Times New Roman" w:cs="Times New Roman"/>
          <w:szCs w:val="28"/>
          <w:lang w:eastAsia="en-GB"/>
        </w:rPr>
      </w:pPr>
      <w:r>
        <w:rPr>
          <w:rFonts w:eastAsia="Times New Roman" w:cs="Times New Roman"/>
          <w:i/>
          <w:iCs/>
          <w:szCs w:val="28"/>
          <w:lang w:eastAsia="en-GB"/>
        </w:rPr>
        <w:t>...</w:t>
      </w:r>
    </w:p>
    <w:p>
      <w:pPr>
        <w:spacing w:after="75" w:line="240" w:lineRule="auto"/>
        <w:jc w:val="both"/>
        <w:rPr>
          <w:rFonts w:eastAsia="Times New Roman" w:cs="Times New Roman"/>
          <w:szCs w:val="28"/>
          <w:lang w:eastAsia="en-GB"/>
        </w:rPr>
      </w:pPr>
      <w:r>
        <w:rPr>
          <w:rFonts w:eastAsia="Times New Roman" w:cs="Times New Roman"/>
          <w:i/>
          <w:iCs/>
          <w:szCs w:val="28"/>
          <w:lang w:eastAsia="en-GB"/>
        </w:rPr>
        <w:t>2. Thực hiện khoán quỹ phụ cấp đối với những người hoạt động không chuyên trách ở thôn, tổ dân phố. Ngân sách Trung ương khoán quỹ phụ cấp để chi trả hàng tháng đối với người hoạt động không chuyên trách ở mỗi thôn, tổ dân phố như sau:</w:t>
      </w:r>
    </w:p>
    <w:p>
      <w:pPr>
        <w:spacing w:after="75" w:line="240" w:lineRule="auto"/>
        <w:jc w:val="both"/>
        <w:rPr>
          <w:rFonts w:eastAsia="Times New Roman" w:cs="Times New Roman"/>
          <w:szCs w:val="28"/>
          <w:lang w:eastAsia="en-GB"/>
        </w:rPr>
      </w:pPr>
      <w:r>
        <w:rPr>
          <w:rFonts w:eastAsia="Times New Roman" w:cs="Times New Roman"/>
          <w:i/>
          <w:iCs/>
          <w:szCs w:val="28"/>
          <w:lang w:eastAsia="en-GB"/>
        </w:rPr>
        <w:t xml:space="preserve">a) Đối với thôn có từ 350 hộ gia đình trở lên; tổ dân phố có từ 500 hộ gia đình trở lên; thôn, tổ dân phố thuộc đơn vị hành chính cấp xã trọng điểm, phức tạp </w:t>
      </w:r>
      <w:r>
        <w:rPr>
          <w:rFonts w:eastAsia="Times New Roman" w:cs="Times New Roman"/>
          <w:i/>
          <w:iCs/>
          <w:szCs w:val="28"/>
          <w:lang w:eastAsia="en-GB"/>
        </w:rPr>
        <w:lastRenderedPageBreak/>
        <w:t>về an ninh, trật tự theo quyết định của cơ quan có thẩm quyền; thôn, tổ dân phố thuộc đơn vị hành chính cấp xã ở khu vực biên giới, hải đảo được khoán quỹ phụ cấp bằng 6,0 lần mức lương cơ sở. Trường hợp thôn có từ 350 hộ gia đình trở lên chuyển thành tổ dân phố do thành lập đơn vị hành chính đô thị cấp xã thì được giữ mức khoán quỹ phụ cấp bằng 6,0 lần mức lương cơ sở;</w:t>
      </w:r>
    </w:p>
    <w:p>
      <w:pPr>
        <w:spacing w:after="75" w:line="240" w:lineRule="auto"/>
        <w:jc w:val="both"/>
        <w:rPr>
          <w:rFonts w:eastAsia="Times New Roman" w:cs="Times New Roman"/>
          <w:szCs w:val="28"/>
          <w:lang w:eastAsia="en-GB"/>
        </w:rPr>
      </w:pPr>
      <w:r>
        <w:rPr>
          <w:rFonts w:eastAsia="Times New Roman" w:cs="Times New Roman"/>
          <w:i/>
          <w:iCs/>
          <w:szCs w:val="28"/>
          <w:lang w:eastAsia="en-GB"/>
        </w:rPr>
        <w:t>b) Đối với các thôn, tổ dân phố không thuộc quy định tại điểm a khoản 2 Điều này được khoán quỹ phụ cấp bằng 4,5 lần mức lương cơ sở;</w:t>
      </w:r>
    </w:p>
    <w:p>
      <w:pPr>
        <w:spacing w:after="75" w:line="240" w:lineRule="auto"/>
        <w:jc w:val="both"/>
        <w:rPr>
          <w:rFonts w:eastAsia="Times New Roman" w:cs="Times New Roman"/>
          <w:szCs w:val="28"/>
          <w:lang w:eastAsia="en-GB"/>
        </w:rPr>
      </w:pPr>
      <w:r>
        <w:rPr>
          <w:rFonts w:eastAsia="Times New Roman" w:cs="Times New Roman"/>
          <w:i/>
          <w:iCs/>
          <w:szCs w:val="28"/>
          <w:lang w:eastAsia="en-GB"/>
        </w:rPr>
        <w:t>c) Trường hợp đơn vị hành chính cấp huyện không tổ chức đơn vị hành chính cấp xã thì thôn, tổ dân phố quy định tại điểm a và điểm b khoản này được xác định theo đơn vị hành chính cấp huyện đó.</w:t>
      </w:r>
    </w:p>
    <w:p>
      <w:pPr>
        <w:spacing w:before="375" w:after="100" w:afterAutospacing="1" w:line="240" w:lineRule="auto"/>
        <w:jc w:val="both"/>
        <w:rPr>
          <w:rFonts w:eastAsia="Times New Roman" w:cs="Times New Roman"/>
          <w:szCs w:val="28"/>
          <w:lang w:eastAsia="en-GB"/>
        </w:rPr>
      </w:pPr>
      <w:r>
        <w:rPr>
          <w:rFonts w:eastAsia="Times New Roman" w:cs="Times New Roman"/>
          <w:szCs w:val="28"/>
          <w:lang w:eastAsia="en-GB"/>
        </w:rPr>
        <w:t>Theo đó, mức phụ cấp của người hoạt động không chuyên trách ở thôn, tổ dân phố được xác định như sau:</w:t>
      </w:r>
    </w:p>
    <w:tbl>
      <w:tblPr>
        <w:tblW w:w="9431" w:type="dxa"/>
        <w:tblCellMar>
          <w:top w:w="15" w:type="dxa"/>
          <w:left w:w="15" w:type="dxa"/>
          <w:bottom w:w="15" w:type="dxa"/>
          <w:right w:w="15" w:type="dxa"/>
        </w:tblCellMar>
        <w:tblLook w:val="04A0" w:firstRow="1" w:lastRow="0" w:firstColumn="1" w:lastColumn="0" w:noHBand="0" w:noVBand="1"/>
      </w:tblPr>
      <w:tblGrid>
        <w:gridCol w:w="4753"/>
        <w:gridCol w:w="1985"/>
        <w:gridCol w:w="2693"/>
      </w:tblGrid>
      <w:tr>
        <w:tc>
          <w:tcPr>
            <w:tcW w:w="4753" w:type="dxa"/>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pPr>
              <w:spacing w:after="100" w:afterAutospacing="1" w:line="240" w:lineRule="auto"/>
              <w:jc w:val="both"/>
              <w:rPr>
                <w:rFonts w:eastAsia="Times New Roman" w:cs="Times New Roman"/>
                <w:szCs w:val="28"/>
                <w:lang w:eastAsia="en-GB"/>
              </w:rPr>
            </w:pPr>
            <w:r>
              <w:rPr>
                <w:rFonts w:eastAsia="Times New Roman" w:cs="Times New Roman"/>
                <w:b/>
                <w:bCs/>
                <w:szCs w:val="28"/>
                <w:lang w:eastAsia="en-GB"/>
              </w:rPr>
              <w:t>Trường hợp</w:t>
            </w:r>
          </w:p>
        </w:tc>
        <w:tc>
          <w:tcPr>
            <w:tcW w:w="1985" w:type="dxa"/>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pPr>
              <w:spacing w:after="100" w:afterAutospacing="1" w:line="240" w:lineRule="auto"/>
              <w:jc w:val="both"/>
              <w:rPr>
                <w:rFonts w:eastAsia="Times New Roman" w:cs="Times New Roman"/>
                <w:szCs w:val="28"/>
                <w:lang w:eastAsia="en-GB"/>
              </w:rPr>
            </w:pPr>
            <w:r>
              <w:rPr>
                <w:rFonts w:eastAsia="Times New Roman" w:cs="Times New Roman"/>
                <w:b/>
                <w:bCs/>
                <w:szCs w:val="28"/>
                <w:lang w:eastAsia="en-GB"/>
              </w:rPr>
              <w:t>Mức phụ cấp theo lương cơ sở</w:t>
            </w:r>
          </w:p>
        </w:tc>
        <w:tc>
          <w:tcPr>
            <w:tcW w:w="2693" w:type="dxa"/>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pPr>
              <w:spacing w:after="100" w:afterAutospacing="1" w:line="240" w:lineRule="auto"/>
              <w:jc w:val="both"/>
              <w:rPr>
                <w:rFonts w:eastAsia="Times New Roman" w:cs="Times New Roman"/>
                <w:szCs w:val="28"/>
                <w:lang w:eastAsia="en-GB"/>
              </w:rPr>
            </w:pPr>
            <w:r>
              <w:rPr>
                <w:rFonts w:eastAsia="Times New Roman" w:cs="Times New Roman"/>
                <w:b/>
                <w:bCs/>
                <w:szCs w:val="28"/>
                <w:lang w:eastAsia="en-GB"/>
              </w:rPr>
              <w:t>Mức phụ cấp</w:t>
            </w:r>
          </w:p>
          <w:p>
            <w:pPr>
              <w:spacing w:after="100" w:afterAutospacing="1" w:line="240" w:lineRule="auto"/>
              <w:jc w:val="both"/>
              <w:rPr>
                <w:rFonts w:eastAsia="Times New Roman" w:cs="Times New Roman"/>
                <w:szCs w:val="28"/>
                <w:lang w:eastAsia="en-GB"/>
              </w:rPr>
            </w:pPr>
            <w:r>
              <w:rPr>
                <w:rFonts w:eastAsia="Times New Roman" w:cs="Times New Roman"/>
                <w:b/>
                <w:bCs/>
                <w:szCs w:val="28"/>
                <w:lang w:eastAsia="en-GB"/>
              </w:rPr>
              <w:t>(Đồng/tháng)</w:t>
            </w:r>
          </w:p>
        </w:tc>
      </w:tr>
      <w:tr>
        <w:tc>
          <w:tcPr>
            <w:tcW w:w="4753" w:type="dxa"/>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pPr>
              <w:spacing w:after="100" w:afterAutospacing="1" w:line="240" w:lineRule="auto"/>
              <w:jc w:val="both"/>
              <w:rPr>
                <w:rFonts w:eastAsia="Times New Roman" w:cs="Times New Roman"/>
                <w:szCs w:val="28"/>
                <w:lang w:eastAsia="en-GB"/>
              </w:rPr>
            </w:pPr>
            <w:r>
              <w:rPr>
                <w:rFonts w:eastAsia="Times New Roman" w:cs="Times New Roman"/>
                <w:szCs w:val="28"/>
                <w:lang w:eastAsia="en-GB"/>
              </w:rPr>
              <w:t>- Đối với thôn có từ 350 hộ gia đình trở lên;</w:t>
            </w:r>
          </w:p>
          <w:p>
            <w:pPr>
              <w:spacing w:after="100" w:afterAutospacing="1" w:line="240" w:lineRule="auto"/>
              <w:jc w:val="both"/>
              <w:rPr>
                <w:rFonts w:eastAsia="Times New Roman" w:cs="Times New Roman"/>
                <w:szCs w:val="28"/>
                <w:lang w:eastAsia="en-GB"/>
              </w:rPr>
            </w:pPr>
            <w:r>
              <w:rPr>
                <w:rFonts w:eastAsia="Times New Roman" w:cs="Times New Roman"/>
                <w:szCs w:val="28"/>
                <w:lang w:eastAsia="en-GB"/>
              </w:rPr>
              <w:t>- Thôn, tổ dân phố thuộc đơn vị hành chính cấp xã trọng điểm, phức tạp về an ninh, trật tự theo quyết định của cơ quan có thẩm quyền;</w:t>
            </w:r>
          </w:p>
          <w:p>
            <w:pPr>
              <w:spacing w:after="100" w:afterAutospacing="1" w:line="240" w:lineRule="auto"/>
              <w:jc w:val="both"/>
              <w:rPr>
                <w:rFonts w:eastAsia="Times New Roman" w:cs="Times New Roman"/>
                <w:szCs w:val="28"/>
                <w:lang w:eastAsia="en-GB"/>
              </w:rPr>
            </w:pPr>
            <w:r>
              <w:rPr>
                <w:rFonts w:eastAsia="Times New Roman" w:cs="Times New Roman"/>
                <w:szCs w:val="28"/>
                <w:lang w:eastAsia="en-GB"/>
              </w:rPr>
              <w:t>- Thôn, tổ dân phố thuộc đơn vị hành chính cấp xã ở khu vực biên giới, hải đảo.</w:t>
            </w:r>
          </w:p>
          <w:p>
            <w:pPr>
              <w:spacing w:after="100" w:afterAutospacing="1" w:line="240" w:lineRule="auto"/>
              <w:jc w:val="both"/>
              <w:rPr>
                <w:rFonts w:eastAsia="Times New Roman" w:cs="Times New Roman"/>
                <w:szCs w:val="28"/>
                <w:lang w:eastAsia="en-GB"/>
              </w:rPr>
            </w:pPr>
            <w:r>
              <w:rPr>
                <w:rFonts w:eastAsia="Times New Roman" w:cs="Times New Roman"/>
                <w:szCs w:val="28"/>
                <w:lang w:eastAsia="en-GB"/>
              </w:rPr>
              <w:t>- Trường hợp thôn có từ 350 hộ gia đình trở lên chuyển thành tổ dân phố do thành lập đơn vị hành chính đô thị cấp xã.</w:t>
            </w:r>
          </w:p>
        </w:tc>
        <w:tc>
          <w:tcPr>
            <w:tcW w:w="1985" w:type="dxa"/>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pPr>
              <w:spacing w:after="100" w:afterAutospacing="1" w:line="240" w:lineRule="auto"/>
              <w:jc w:val="both"/>
              <w:rPr>
                <w:rFonts w:eastAsia="Times New Roman" w:cs="Times New Roman"/>
                <w:szCs w:val="28"/>
                <w:lang w:eastAsia="en-GB"/>
              </w:rPr>
            </w:pPr>
            <w:r>
              <w:rPr>
                <w:rFonts w:eastAsia="Times New Roman" w:cs="Times New Roman"/>
                <w:szCs w:val="28"/>
                <w:lang w:eastAsia="en-GB"/>
              </w:rPr>
              <w:t>6,0 lần mức lương cơ sở</w:t>
            </w:r>
          </w:p>
        </w:tc>
        <w:tc>
          <w:tcPr>
            <w:tcW w:w="2693" w:type="dxa"/>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pPr>
              <w:spacing w:after="100" w:afterAutospacing="1" w:line="240" w:lineRule="auto"/>
              <w:jc w:val="both"/>
              <w:rPr>
                <w:rFonts w:eastAsia="Times New Roman" w:cs="Times New Roman"/>
                <w:szCs w:val="28"/>
                <w:lang w:eastAsia="en-GB"/>
              </w:rPr>
            </w:pPr>
            <w:r>
              <w:rPr>
                <w:rFonts w:eastAsia="Times New Roman" w:cs="Times New Roman"/>
                <w:szCs w:val="28"/>
                <w:lang w:eastAsia="en-GB"/>
              </w:rPr>
              <w:t>10.800.000 đồng/tháng</w:t>
            </w:r>
          </w:p>
        </w:tc>
      </w:tr>
      <w:tr>
        <w:tc>
          <w:tcPr>
            <w:tcW w:w="4753" w:type="dxa"/>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pPr>
              <w:spacing w:after="100" w:afterAutospacing="1" w:line="240" w:lineRule="auto"/>
              <w:jc w:val="both"/>
              <w:rPr>
                <w:rFonts w:eastAsia="Times New Roman" w:cs="Times New Roman"/>
                <w:szCs w:val="28"/>
                <w:lang w:eastAsia="en-GB"/>
              </w:rPr>
            </w:pPr>
            <w:r>
              <w:rPr>
                <w:rFonts w:eastAsia="Times New Roman" w:cs="Times New Roman"/>
                <w:szCs w:val="28"/>
                <w:lang w:eastAsia="en-GB"/>
              </w:rPr>
              <w:t>Thôn, Tổ dân phố còn lại</w:t>
            </w:r>
          </w:p>
        </w:tc>
        <w:tc>
          <w:tcPr>
            <w:tcW w:w="1985" w:type="dxa"/>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pPr>
              <w:spacing w:after="100" w:afterAutospacing="1" w:line="240" w:lineRule="auto"/>
              <w:jc w:val="both"/>
              <w:rPr>
                <w:rFonts w:eastAsia="Times New Roman" w:cs="Times New Roman"/>
                <w:szCs w:val="28"/>
                <w:lang w:eastAsia="en-GB"/>
              </w:rPr>
            </w:pPr>
            <w:r>
              <w:rPr>
                <w:rFonts w:eastAsia="Times New Roman" w:cs="Times New Roman"/>
                <w:szCs w:val="28"/>
                <w:lang w:eastAsia="en-GB"/>
              </w:rPr>
              <w:t>4,5 lần mức lương cơ sở</w:t>
            </w:r>
          </w:p>
        </w:tc>
        <w:tc>
          <w:tcPr>
            <w:tcW w:w="2693" w:type="dxa"/>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pPr>
              <w:spacing w:after="100" w:afterAutospacing="1" w:line="240" w:lineRule="auto"/>
              <w:jc w:val="both"/>
              <w:rPr>
                <w:rFonts w:eastAsia="Times New Roman" w:cs="Times New Roman"/>
                <w:szCs w:val="28"/>
                <w:lang w:eastAsia="en-GB"/>
              </w:rPr>
            </w:pPr>
            <w:r>
              <w:rPr>
                <w:rFonts w:eastAsia="Times New Roman" w:cs="Times New Roman"/>
                <w:szCs w:val="28"/>
                <w:lang w:eastAsia="en-GB"/>
              </w:rPr>
              <w:t>8.100.000 đồng/tháng</w:t>
            </w:r>
          </w:p>
        </w:tc>
      </w:tr>
    </w:tbl>
    <w:p>
      <w:pPr>
        <w:spacing w:after="100" w:afterAutospacing="1" w:line="240" w:lineRule="auto"/>
        <w:jc w:val="both"/>
        <w:rPr>
          <w:rFonts w:eastAsia="Times New Roman" w:cs="Times New Roman"/>
          <w:b/>
          <w:bCs/>
          <w:i/>
          <w:szCs w:val="28"/>
          <w:u w:val="single"/>
          <w:lang w:eastAsia="en-GB"/>
        </w:rPr>
      </w:pPr>
    </w:p>
    <w:p>
      <w:pPr>
        <w:spacing w:after="100" w:afterAutospacing="1" w:line="240" w:lineRule="auto"/>
        <w:jc w:val="both"/>
        <w:rPr>
          <w:rFonts w:eastAsia="Times New Roman" w:cs="Times New Roman"/>
          <w:i/>
          <w:szCs w:val="28"/>
          <w:u w:val="single"/>
          <w:lang w:eastAsia="en-GB"/>
        </w:rPr>
      </w:pPr>
      <w:bookmarkStart w:id="0" w:name="_GoBack"/>
      <w:bookmarkEnd w:id="0"/>
      <w:r>
        <w:rPr>
          <w:rFonts w:eastAsia="Times New Roman" w:cs="Times New Roman"/>
          <w:b/>
          <w:bCs/>
          <w:i/>
          <w:szCs w:val="28"/>
          <w:u w:val="single"/>
          <w:lang w:eastAsia="en-GB"/>
        </w:rPr>
        <w:t>Lưu ý:</w:t>
      </w:r>
      <w:r>
        <w:rPr>
          <w:rFonts w:eastAsia="Times New Roman" w:cs="Times New Roman"/>
          <w:i/>
          <w:szCs w:val="28"/>
          <w:u w:val="single"/>
          <w:lang w:eastAsia="en-GB"/>
        </w:rPr>
        <w:t> Mức phụ cấp nêu trên là mức chi gộp chung cho cả các chức danh làm việc không chuyên trách ở thôn, không phải mức chi trả riêng cho từng người.</w:t>
      </w:r>
    </w:p>
    <w:p>
      <w:pPr>
        <w:spacing w:after="100" w:afterAutospacing="1" w:line="240" w:lineRule="auto"/>
        <w:jc w:val="both"/>
        <w:rPr>
          <w:rFonts w:eastAsia="Times New Roman" w:cs="Times New Roman"/>
          <w:szCs w:val="28"/>
          <w:lang w:eastAsia="en-GB"/>
        </w:rPr>
      </w:pPr>
      <w:r>
        <w:rPr>
          <w:rFonts w:eastAsia="Times New Roman" w:cs="Times New Roman"/>
          <w:szCs w:val="28"/>
          <w:lang w:eastAsia="en-GB"/>
        </w:rPr>
        <w:t xml:space="preserve">UBND cấp tỉnh sẽ căn cứ vào quỹ phụ cấp được khoán cho mỗi cấp xã, mỗi thôn, tổ dân phố; nguồn kinh phí ngân sách địa phương; quy định của pháp luật </w:t>
      </w:r>
      <w:r>
        <w:rPr>
          <w:rFonts w:eastAsia="Times New Roman" w:cs="Times New Roman"/>
          <w:szCs w:val="28"/>
          <w:lang w:eastAsia="en-GB"/>
        </w:rPr>
        <w:lastRenderedPageBreak/>
        <w:t>có liên quan và đặc thù của từng thôn để trình HĐND cùng cấp quyết định mức khoán quỹ cụ thể cho từng nhóm đối tượng.</w:t>
      </w:r>
    </w:p>
    <w:p>
      <w:pPr>
        <w:spacing w:after="100" w:afterAutospacing="1" w:line="240" w:lineRule="auto"/>
        <w:jc w:val="both"/>
        <w:rPr>
          <w:rFonts w:eastAsia="Times New Roman" w:cs="Times New Roman"/>
          <w:szCs w:val="28"/>
          <w:lang w:eastAsia="en-GB"/>
        </w:rPr>
      </w:pPr>
      <w:r>
        <w:rPr>
          <w:rFonts w:eastAsia="Times New Roman" w:cs="Times New Roman"/>
          <w:szCs w:val="28"/>
          <w:lang w:eastAsia="en-GB"/>
        </w:rPr>
        <w:t>Trường hợp người hoạt động không chuyên trách ở thôn, tổ dân phố kiêm nhiệm thực hiện nhiệm vụ của người hoạt động không chuyên trách khác ở thôn, tổ dân phố thì được hưởng phụ cấp kiêm nhiệm bằng 100% mức phụ cấp quy định của chức danh kiêm nhiệm.</w:t>
      </w:r>
    </w:p>
    <w:p>
      <w:pPr>
        <w:spacing w:after="100" w:afterAutospacing="1" w:line="255" w:lineRule="atLeast"/>
        <w:jc w:val="both"/>
        <w:outlineLvl w:val="1"/>
        <w:rPr>
          <w:rFonts w:eastAsia="Times New Roman" w:cs="Times New Roman"/>
          <w:szCs w:val="28"/>
          <w:lang w:eastAsia="en-GB"/>
        </w:rPr>
      </w:pPr>
      <w:r>
        <w:rPr>
          <w:rFonts w:eastAsia="Times New Roman" w:cs="Times New Roman"/>
          <w:b/>
          <w:bCs/>
          <w:szCs w:val="28"/>
          <w:lang w:eastAsia="en-GB"/>
        </w:rPr>
        <w:t>Nguồn kinh phí để chi trả phụ cấp cho người hoạt động không chuyên trách ở thôn, tổ dân phố được lấy từ đâu?</w:t>
      </w:r>
    </w:p>
    <w:p>
      <w:pPr>
        <w:spacing w:after="100" w:afterAutospacing="1" w:line="240" w:lineRule="auto"/>
        <w:jc w:val="both"/>
        <w:rPr>
          <w:rFonts w:eastAsia="Times New Roman" w:cs="Times New Roman"/>
          <w:szCs w:val="28"/>
          <w:lang w:eastAsia="en-GB"/>
        </w:rPr>
      </w:pPr>
      <w:r>
        <w:rPr>
          <w:rFonts w:eastAsia="Times New Roman" w:cs="Times New Roman"/>
          <w:szCs w:val="28"/>
          <w:lang w:eastAsia="en-GB"/>
        </w:rPr>
        <w:t>Căn cứ quy định tại Điều 39 </w:t>
      </w:r>
      <w:hyperlink r:id="rId8" w:tgtFrame="_blank" w:history="1">
        <w:r>
          <w:rPr>
            <w:rFonts w:eastAsia="Times New Roman" w:cs="Times New Roman"/>
            <w:color w:val="0E70A4"/>
            <w:szCs w:val="28"/>
            <w:u w:val="single"/>
            <w:lang w:eastAsia="en-GB"/>
          </w:rPr>
          <w:t>Nghị định 33/2023/NĐ-CP</w:t>
        </w:r>
      </w:hyperlink>
      <w:r>
        <w:rPr>
          <w:rFonts w:eastAsia="Times New Roman" w:cs="Times New Roman"/>
          <w:szCs w:val="28"/>
          <w:lang w:eastAsia="en-GB"/>
        </w:rPr>
        <w:t> như sau:</w:t>
      </w:r>
    </w:p>
    <w:p>
      <w:pPr>
        <w:spacing w:after="75" w:line="240" w:lineRule="auto"/>
        <w:jc w:val="both"/>
        <w:rPr>
          <w:rFonts w:eastAsia="Times New Roman" w:cs="Times New Roman"/>
          <w:szCs w:val="28"/>
          <w:lang w:eastAsia="en-GB"/>
        </w:rPr>
      </w:pPr>
      <w:r>
        <w:rPr>
          <w:rFonts w:eastAsia="Times New Roman" w:cs="Times New Roman"/>
          <w:b/>
          <w:bCs/>
          <w:i/>
          <w:iCs/>
          <w:szCs w:val="28"/>
          <w:lang w:eastAsia="en-GB"/>
        </w:rPr>
        <w:t>Nguồn kinh phí thực hiện chế độ, chính sách đối với cán bộ, công chức cấp xã, người hoạt động không chuyên trách ở cấp xã, ở thôn, tổ dân phố và người trực tiếp tham gia hoạt động ở thôn, tổ dân phố</w:t>
      </w:r>
    </w:p>
    <w:p>
      <w:pPr>
        <w:spacing w:after="75" w:line="240" w:lineRule="auto"/>
        <w:jc w:val="both"/>
        <w:rPr>
          <w:rFonts w:eastAsia="Times New Roman" w:cs="Times New Roman"/>
          <w:szCs w:val="28"/>
          <w:lang w:eastAsia="en-GB"/>
        </w:rPr>
      </w:pPr>
      <w:r>
        <w:rPr>
          <w:rFonts w:eastAsia="Times New Roman" w:cs="Times New Roman"/>
          <w:i/>
          <w:iCs/>
          <w:szCs w:val="28"/>
          <w:lang w:eastAsia="en-GB"/>
        </w:rPr>
        <w:t>1. Nguồn kinh phí để thực hiện chế độ, chính sách đối với cán bộ, công chức cấp xã và người hoạt động không chuyên trách ở cấp xã, ở thôn, tổ dân phố, người trực tiếp tham gia hoạt động ở thôn, tổ dân phố; cán bộ cấp xã già yếu nghỉ việc quy định tại khoản 6 Điều 38 Nghị định này do ngân sách nhà nước bảo đảm theo phân cấp ngân sách hiện hành.</w:t>
      </w:r>
    </w:p>
    <w:p>
      <w:pPr>
        <w:spacing w:after="75" w:line="240" w:lineRule="auto"/>
        <w:jc w:val="both"/>
        <w:rPr>
          <w:rFonts w:eastAsia="Times New Roman" w:cs="Times New Roman"/>
          <w:szCs w:val="28"/>
          <w:lang w:eastAsia="en-GB"/>
        </w:rPr>
      </w:pPr>
      <w:r>
        <w:rPr>
          <w:rFonts w:eastAsia="Times New Roman" w:cs="Times New Roman"/>
          <w:i/>
          <w:iCs/>
          <w:szCs w:val="28"/>
          <w:lang w:eastAsia="en-GB"/>
        </w:rPr>
        <w:t>2. Quỹ Bảo hiểm xã hội bảo đảm kinh phí chi trả các chế độ theo quy định của pháp luật về bảo hiểm xã hội đối với cán bộ, công chức cấp xã và người hoạt động không chuyên trách ở cấp xã.</w:t>
      </w:r>
    </w:p>
    <w:p>
      <w:pPr>
        <w:jc w:val="both"/>
        <w:rPr>
          <w:rFonts w:cs="Times New Roman"/>
          <w:szCs w:val="28"/>
        </w:rPr>
      </w:pPr>
      <w:r>
        <w:rPr>
          <w:rFonts w:cs="Times New Roman"/>
          <w:color w:val="212529"/>
          <w:szCs w:val="28"/>
          <w:shd w:val="clear" w:color="auto" w:fill="FFFFFF"/>
        </w:rPr>
        <w:t>Như vậy, nguồn kinh phí để chi trả phụ cấp cho người hoạt động không chuyên trách ở thôn, tổ dân phố được lấy từ ngân sách nhà nước theo phân cấp ngân sách.</w:t>
      </w:r>
    </w:p>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E5FBF"/>
    <w:multiLevelType w:val="multilevel"/>
    <w:tmpl w:val="CBDE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cs="Times New Roman"/>
      <w:b/>
      <w:bCs/>
      <w:kern w:val="36"/>
      <w:sz w:val="48"/>
      <w:szCs w:val="48"/>
      <w:lang w:eastAsia="en-GB"/>
    </w:rPr>
  </w:style>
  <w:style w:type="paragraph" w:styleId="Heading2">
    <w:name w:val="heading 2"/>
    <w:basedOn w:val="Normal"/>
    <w:link w:val="Heading2Char"/>
    <w:uiPriority w:val="9"/>
    <w:qFormat/>
    <w:pPr>
      <w:spacing w:before="100" w:beforeAutospacing="1" w:after="100" w:afterAutospacing="1" w:line="240" w:lineRule="auto"/>
      <w:outlineLvl w:val="1"/>
    </w:pPr>
    <w:rPr>
      <w:rFonts w:eastAsia="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eastAsia="Times New Roman" w:cs="Times New Roman"/>
      <w:b/>
      <w:bCs/>
      <w:kern w:val="36"/>
      <w:sz w:val="48"/>
      <w:szCs w:val="48"/>
      <w:lang w:eastAsia="en-GB"/>
    </w:rPr>
  </w:style>
  <w:style w:type="character" w:customStyle="1" w:styleId="Heading2Char">
    <w:name w:val="Heading 2 Char"/>
    <w:basedOn w:val="DefaultParagraphFont"/>
    <w:link w:val="Heading2"/>
    <w:uiPriority w:val="9"/>
    <w:rPr>
      <w:rFonts w:eastAsia="Times New Roman" w:cs="Times New Roman"/>
      <w:b/>
      <w:bCs/>
      <w:sz w:val="36"/>
      <w:szCs w:val="36"/>
      <w:lang w:eastAsia="en-GB"/>
    </w:r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sz w:val="24"/>
      <w:szCs w:val="24"/>
      <w:lang w:eastAsia="en-GB"/>
    </w:rPr>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cs="Times New Roman"/>
      <w:b/>
      <w:bCs/>
      <w:kern w:val="36"/>
      <w:sz w:val="48"/>
      <w:szCs w:val="48"/>
      <w:lang w:eastAsia="en-GB"/>
    </w:rPr>
  </w:style>
  <w:style w:type="paragraph" w:styleId="Heading2">
    <w:name w:val="heading 2"/>
    <w:basedOn w:val="Normal"/>
    <w:link w:val="Heading2Char"/>
    <w:uiPriority w:val="9"/>
    <w:qFormat/>
    <w:pPr>
      <w:spacing w:before="100" w:beforeAutospacing="1" w:after="100" w:afterAutospacing="1" w:line="240" w:lineRule="auto"/>
      <w:outlineLvl w:val="1"/>
    </w:pPr>
    <w:rPr>
      <w:rFonts w:eastAsia="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eastAsia="Times New Roman" w:cs="Times New Roman"/>
      <w:b/>
      <w:bCs/>
      <w:kern w:val="36"/>
      <w:sz w:val="48"/>
      <w:szCs w:val="48"/>
      <w:lang w:eastAsia="en-GB"/>
    </w:rPr>
  </w:style>
  <w:style w:type="character" w:customStyle="1" w:styleId="Heading2Char">
    <w:name w:val="Heading 2 Char"/>
    <w:basedOn w:val="DefaultParagraphFont"/>
    <w:link w:val="Heading2"/>
    <w:uiPriority w:val="9"/>
    <w:rPr>
      <w:rFonts w:eastAsia="Times New Roman" w:cs="Times New Roman"/>
      <w:b/>
      <w:bCs/>
      <w:sz w:val="36"/>
      <w:szCs w:val="36"/>
      <w:lang w:eastAsia="en-GB"/>
    </w:r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sz w:val="24"/>
      <w:szCs w:val="24"/>
      <w:lang w:eastAsia="en-GB"/>
    </w:rPr>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197287">
      <w:bodyDiv w:val="1"/>
      <w:marLeft w:val="0"/>
      <w:marRight w:val="0"/>
      <w:marTop w:val="0"/>
      <w:marBottom w:val="0"/>
      <w:divBdr>
        <w:top w:val="none" w:sz="0" w:space="0" w:color="auto"/>
        <w:left w:val="none" w:sz="0" w:space="0" w:color="auto"/>
        <w:bottom w:val="none" w:sz="0" w:space="0" w:color="auto"/>
        <w:right w:val="none" w:sz="0" w:space="0" w:color="auto"/>
      </w:divBdr>
      <w:divsChild>
        <w:div w:id="78990435">
          <w:marLeft w:val="0"/>
          <w:marRight w:val="0"/>
          <w:marTop w:val="0"/>
          <w:marBottom w:val="225"/>
          <w:divBdr>
            <w:top w:val="none" w:sz="0" w:space="0" w:color="auto"/>
            <w:left w:val="none" w:sz="0" w:space="0" w:color="auto"/>
            <w:bottom w:val="none" w:sz="0" w:space="0" w:color="auto"/>
            <w:right w:val="none" w:sz="0" w:space="0" w:color="auto"/>
          </w:divBdr>
          <w:divsChild>
            <w:div w:id="171261559">
              <w:marLeft w:val="0"/>
              <w:marRight w:val="0"/>
              <w:marTop w:val="0"/>
              <w:marBottom w:val="0"/>
              <w:divBdr>
                <w:top w:val="none" w:sz="0" w:space="0" w:color="auto"/>
                <w:left w:val="none" w:sz="0" w:space="0" w:color="auto"/>
                <w:bottom w:val="none" w:sz="0" w:space="0" w:color="auto"/>
                <w:right w:val="none" w:sz="0" w:space="0" w:color="auto"/>
              </w:divBdr>
              <w:divsChild>
                <w:div w:id="829295797">
                  <w:marLeft w:val="0"/>
                  <w:marRight w:val="0"/>
                  <w:marTop w:val="0"/>
                  <w:marBottom w:val="0"/>
                  <w:divBdr>
                    <w:top w:val="none" w:sz="0" w:space="0" w:color="auto"/>
                    <w:left w:val="none" w:sz="0" w:space="0" w:color="auto"/>
                    <w:bottom w:val="none" w:sz="0" w:space="0" w:color="auto"/>
                    <w:right w:val="none" w:sz="0" w:space="0" w:color="auto"/>
                  </w:divBdr>
                  <w:divsChild>
                    <w:div w:id="1182814165">
                      <w:marLeft w:val="0"/>
                      <w:marRight w:val="0"/>
                      <w:marTop w:val="0"/>
                      <w:marBottom w:val="0"/>
                      <w:divBdr>
                        <w:top w:val="none" w:sz="0" w:space="0" w:color="auto"/>
                        <w:left w:val="none" w:sz="0" w:space="0" w:color="auto"/>
                        <w:bottom w:val="none" w:sz="0" w:space="0" w:color="auto"/>
                        <w:right w:val="none" w:sz="0" w:space="0" w:color="auto"/>
                      </w:divBdr>
                    </w:div>
                  </w:divsChild>
                </w:div>
                <w:div w:id="194007086">
                  <w:marLeft w:val="0"/>
                  <w:marRight w:val="0"/>
                  <w:marTop w:val="0"/>
                  <w:marBottom w:val="0"/>
                  <w:divBdr>
                    <w:top w:val="none" w:sz="0" w:space="0" w:color="auto"/>
                    <w:left w:val="none" w:sz="0" w:space="0" w:color="auto"/>
                    <w:bottom w:val="none" w:sz="0" w:space="0" w:color="auto"/>
                    <w:right w:val="none" w:sz="0" w:space="0" w:color="auto"/>
                  </w:divBdr>
                  <w:divsChild>
                    <w:div w:id="47221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556995">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41902434">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503975813">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752578642">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650938376">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222061447">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405689281">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2098624190">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73616806">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539440962">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982732140">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303197465">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309330148">
          <w:blockQuote w:val="1"/>
          <w:marLeft w:val="0"/>
          <w:marRight w:val="0"/>
          <w:marTop w:val="0"/>
          <w:marBottom w:val="75"/>
          <w:divBdr>
            <w:top w:val="none" w:sz="0" w:space="0" w:color="EF9D20"/>
            <w:left w:val="single" w:sz="24" w:space="9" w:color="EF9D20"/>
            <w:bottom w:val="none" w:sz="0" w:space="0" w:color="EF9D20"/>
            <w:right w:val="none" w:sz="0" w:space="0" w:color="EF9D2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33-2023-ND-CP-can-bo-cong-chuc-cap-xa-va-nguoi-hoat-dong-khong-chuyen-trach-o-cap-xa-560604.aspx?anchor=dieu_39" TargetMode="External"/><Relationship Id="rId3" Type="http://schemas.microsoft.com/office/2007/relationships/stylesWithEffects" Target="stylesWithEffects.xml"/><Relationship Id="rId7" Type="http://schemas.openxmlformats.org/officeDocument/2006/relationships/hyperlink" Target="https://thuvienphapluat.vn/van-ban/Bo-may-hanh-chinh/Nghi-dinh-33-2023-ND-CP-can-bo-cong-chuc-cap-xa-va-nguoi-hoat-dong-khong-chuyen-trach-o-cap-xa-560604.aspx?anchor=dieu_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van-ban/Bo-may-hanh-chinh/Nghi-dinh-33-2023-ND-CP-can-bo-cong-chuc-cap-xa-va-nguoi-hoat-dong-khong-chuyen-trach-o-cap-xa-560604.aspx?anchor=dieu_33"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798</Words>
  <Characters>4552</Characters>
  <Application>Microsoft Office Word</Application>
  <DocSecurity>0</DocSecurity>
  <Lines>37</Lines>
  <Paragraphs>10</Paragraphs>
  <ScaleCrop>false</ScaleCrop>
  <Company/>
  <LinksUpToDate>false</LinksUpToDate>
  <CharactersWithSpaces>5340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Loan</dc:creator>
  <cp:lastModifiedBy>Mrs Loan</cp:lastModifiedBy>
  <cp:revision>1</cp:revision>
  <dcterms:created xsi:type="dcterms:W3CDTF">2023-10-05T10:11:00Z</dcterms:created>
  <dcterms:modified xsi:type="dcterms:W3CDTF">2023-10-05T10:14:00Z</dcterms:modified>
</cp:coreProperties>
</file>